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29080F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proofErr w:type="spellStart"/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proofErr w:type="spellEnd"/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4C18DD00" w:rsidR="004B553E" w:rsidRPr="0017531F" w:rsidRDefault="003B0E4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proofErr w:type="spellStart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</w:t>
            </w:r>
            <w:proofErr w:type="spellEnd"/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BC5515F" w:rsidR="004B553E" w:rsidRPr="0017531F" w:rsidRDefault="00DD26CD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FA0EAB">
              <w:rPr>
                <w:rFonts w:ascii="Merriweather" w:hAnsi="Merriweather" w:cs="Times New Roman"/>
                <w:sz w:val="18"/>
                <w:szCs w:val="18"/>
              </w:rPr>
              <w:t>5</w:t>
            </w:r>
            <w:r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FA0EAB">
              <w:rPr>
                <w:rFonts w:ascii="Merriweather" w:hAnsi="Merriweather" w:cs="Times New Roman"/>
                <w:sz w:val="18"/>
                <w:szCs w:val="18"/>
              </w:rPr>
              <w:t>6</w:t>
            </w:r>
            <w:r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8A95F70" w:rsidR="004B553E" w:rsidRPr="0017531F" w:rsidRDefault="003B0E43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Materinski i inojezični hrvatski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04282257" w:rsidR="004B553E" w:rsidRPr="0017531F" w:rsidRDefault="002205E5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3B0E43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4418F685" w:rsidR="003B0E43" w:rsidRPr="0017531F" w:rsidRDefault="00776F7A" w:rsidP="003B0E43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Dv</w:t>
            </w:r>
            <w:r w:rsidR="003B0E43" w:rsidRPr="007E6583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opredmetni diplomski sveučilišni studij Hrvatskoga jezika i književnosti </w:t>
            </w:r>
          </w:p>
        </w:tc>
      </w:tr>
      <w:tr w:rsidR="003B0E43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969DB5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3B0E43">
              <w:rPr>
                <w:rFonts w:ascii="Merriweather" w:hAnsi="Merriweather" w:cs="Times New Roman"/>
                <w:sz w:val="16"/>
                <w:szCs w:val="16"/>
              </w:rPr>
              <w:t>ijediplomski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31" w:type="dxa"/>
            <w:gridSpan w:val="8"/>
          </w:tcPr>
          <w:p w14:paraId="37477DC0" w14:textId="628A0605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3B0E43" w:rsidRPr="0017531F" w:rsidRDefault="00000000" w:rsidP="003B0E4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3B0E43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0A856A4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3B0E43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6745404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20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3B0E43" w:rsidRPr="0017531F" w:rsidRDefault="00000000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13EEC00C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B0E43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5C9F8FD8" w:rsidR="003B0E43" w:rsidRPr="0017531F" w:rsidRDefault="00000000" w:rsidP="003B0E4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202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kolegij 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496FEF28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3B0E43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Opterećenje </w:t>
            </w:r>
          </w:p>
        </w:tc>
        <w:tc>
          <w:tcPr>
            <w:tcW w:w="413" w:type="dxa"/>
          </w:tcPr>
          <w:p w14:paraId="51235072" w14:textId="229F5ED1" w:rsidR="003B0E43" w:rsidRPr="0017531F" w:rsidRDefault="004474EF" w:rsidP="003B0E43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3B0E43" w:rsidRPr="0017531F" w:rsidRDefault="003B0E43" w:rsidP="003B0E4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7E55E974" w:rsidR="003B0E43" w:rsidRPr="0017531F" w:rsidRDefault="004474EF" w:rsidP="003B0E43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3B0E43" w:rsidRPr="0017531F" w:rsidRDefault="003B0E43" w:rsidP="003B0E4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3B0E43" w:rsidRPr="0017531F" w:rsidRDefault="003B0E43" w:rsidP="003B0E43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3B0E43" w:rsidRPr="0017531F" w:rsidRDefault="003B0E43" w:rsidP="003B0E4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3B0E43" w:rsidRPr="0017531F" w:rsidRDefault="003B0E43" w:rsidP="003B0E4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77DF605E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3B0E43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5F87CBD5" w:rsidR="003B0E43" w:rsidRPr="0091202A" w:rsidRDefault="0091202A" w:rsidP="0091202A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F5F01">
              <w:rPr>
                <w:rFonts w:ascii="Merriweather" w:hAnsi="Merriweather" w:cs="Times New Roman"/>
                <w:sz w:val="16"/>
                <w:szCs w:val="20"/>
              </w:rPr>
              <w:t>SK-23</w:t>
            </w:r>
            <w:r w:rsidR="0042511B">
              <w:rPr>
                <w:rFonts w:ascii="Merriweather" w:hAnsi="Merriweather" w:cs="Times New Roman"/>
                <w:sz w:val="16"/>
                <w:szCs w:val="20"/>
              </w:rPr>
              <w:t>2</w:t>
            </w:r>
            <w:r w:rsidRPr="00AF5F01">
              <w:rPr>
                <w:rFonts w:ascii="Merriweather" w:hAnsi="Merriweather" w:cs="Times New Roman"/>
                <w:sz w:val="16"/>
                <w:szCs w:val="20"/>
              </w:rPr>
              <w:t>, uto 16 – 20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3B0E43" w:rsidRPr="0017531F" w:rsidRDefault="003B0E43" w:rsidP="003B0E43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4D061D7E" w:rsidR="003B0E43" w:rsidRPr="0017531F" w:rsidRDefault="0091202A" w:rsidP="003B0E4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3B0E43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3DF795B7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3E4618B5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sukladno akademskom kalendaru</w:t>
            </w:r>
          </w:p>
        </w:tc>
      </w:tr>
      <w:tr w:rsidR="003B0E43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38F01604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/</w:t>
            </w:r>
          </w:p>
        </w:tc>
      </w:tr>
      <w:tr w:rsidR="003B0E43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5E35EEEE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Marijana Bašić</w:t>
            </w:r>
          </w:p>
        </w:tc>
      </w:tr>
      <w:tr w:rsidR="003B0E43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3B0E43" w:rsidRPr="0017531F" w:rsidRDefault="003B0E43" w:rsidP="003B0E4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D8AC593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5A9F1103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pon</w:t>
            </w:r>
            <w:r>
              <w:rPr>
                <w:rFonts w:ascii="Merriweather" w:hAnsi="Merriweather" w:cs="Times New Roman"/>
                <w:sz w:val="16"/>
                <w:szCs w:val="16"/>
              </w:rPr>
              <w:t>edjeljkom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8 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20</w:t>
            </w:r>
          </w:p>
        </w:tc>
      </w:tr>
      <w:tr w:rsidR="003B0E43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0CC2848D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izv. prof. dr. sc. Marijana Bašić</w:t>
            </w:r>
          </w:p>
        </w:tc>
      </w:tr>
      <w:tr w:rsidR="003B0E43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3B0E43" w:rsidRPr="0017531F" w:rsidRDefault="003B0E43" w:rsidP="003B0E4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070899DC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mabasic@unizd.hr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13546226" w:rsidR="003B0E43" w:rsidRPr="0017531F" w:rsidRDefault="0091202A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A94FC9">
              <w:rPr>
                <w:rFonts w:ascii="Merriweather" w:hAnsi="Merriweather" w:cs="Times New Roman"/>
                <w:sz w:val="16"/>
                <w:szCs w:val="16"/>
              </w:rPr>
              <w:t>pon</w:t>
            </w:r>
            <w:r>
              <w:rPr>
                <w:rFonts w:ascii="Merriweather" w:hAnsi="Merriweather" w:cs="Times New Roman"/>
                <w:sz w:val="16"/>
                <w:szCs w:val="16"/>
              </w:rPr>
              <w:t>edjeljkom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 xml:space="preserve"> 1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8 </w:t>
            </w:r>
            <w:r w:rsidRPr="00A94FC9">
              <w:rPr>
                <w:rFonts w:ascii="Merriweather" w:hAnsi="Merriweather" w:cs="Times New Roman"/>
                <w:sz w:val="16"/>
                <w:szCs w:val="16"/>
              </w:rPr>
              <w:t>–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20</w:t>
            </w:r>
          </w:p>
        </w:tc>
      </w:tr>
      <w:tr w:rsidR="003B0E43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3B0E43" w:rsidRPr="0017531F" w:rsidRDefault="003B0E43" w:rsidP="003B0E4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3B0E43" w:rsidRPr="0017531F" w:rsidRDefault="003B0E43" w:rsidP="003B0E43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7DE753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9D162E8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3B0E43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0E75F2A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B0E43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105216B9" w14:textId="77777777" w:rsidR="003D2E74" w:rsidRPr="00BA1304" w:rsidRDefault="003D2E74" w:rsidP="003D2E7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Nakon odslušanog kolegija student će moći: </w:t>
            </w:r>
          </w:p>
          <w:p w14:paraId="383E8189" w14:textId="77777777" w:rsidR="003D2E74" w:rsidRPr="00BA1304" w:rsidRDefault="003D2E74" w:rsidP="003D2E7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>1. definirati i opisati temeljne pojmove, ključne teorije i hipoteze iz područja ovladavanja jezikom,</w:t>
            </w:r>
          </w:p>
          <w:p w14:paraId="50FC45CD" w14:textId="77777777" w:rsidR="003D2E74" w:rsidRPr="00BA1304" w:rsidRDefault="003D2E74" w:rsidP="003D2E7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>2. opisati i usporediti tijek jezičnoga razvoja (materinski i ini jezik, jednojezičnost, dvojezičnost i višejezičnost),</w:t>
            </w:r>
          </w:p>
          <w:p w14:paraId="790EABED" w14:textId="77777777" w:rsidR="003D2E74" w:rsidRPr="00BA1304" w:rsidRDefault="003D2E74" w:rsidP="003D2E7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>3. opisati i usporediti metode učenja i poučavanja stranih jezika kroz povijest odnosno analizirati sličnosti i razlike u poučavanju materinskoga i inojezičnoga hrvatskog,</w:t>
            </w:r>
          </w:p>
          <w:p w14:paraId="42E696DD" w14:textId="77777777" w:rsidR="003D2E74" w:rsidRPr="00BA1304" w:rsidRDefault="003D2E74" w:rsidP="003D2E7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>4. prepoznati, analizirati i tumačiti odstupanja u radovima inojezičnih govornika</w:t>
            </w:r>
          </w:p>
          <w:p w14:paraId="13E2A08B" w14:textId="23366831" w:rsidR="003B0E43" w:rsidRPr="0017531F" w:rsidRDefault="003D2E74" w:rsidP="003D2E7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BA1304">
              <w:rPr>
                <w:rFonts w:ascii="Merriweather" w:eastAsia="MS Gothic" w:hAnsi="Merriweather" w:cs="Times New Roman"/>
                <w:sz w:val="16"/>
                <w:szCs w:val="16"/>
              </w:rPr>
              <w:t>5. adekvatno primijeniti stečena znanja u radu s inojezičnim učenicima.</w:t>
            </w:r>
          </w:p>
        </w:tc>
      </w:tr>
      <w:tr w:rsidR="003B0E43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2CA2F78" w14:textId="7D1B4784" w:rsidR="003B0E43" w:rsidRPr="0017531F" w:rsidRDefault="003D2E74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3D2E74">
              <w:rPr>
                <w:rFonts w:ascii="Merriweather" w:hAnsi="Merriweather" w:cs="Times New Roman"/>
                <w:color w:val="000000" w:themeColor="text1"/>
                <w:sz w:val="16"/>
                <w:szCs w:val="16"/>
              </w:rPr>
              <w:t>Studenti će ovladati temeljnim znanjima i vještinama neophodnima za poučavanje inojezičnoga hrvatskoga.</w:t>
            </w:r>
          </w:p>
        </w:tc>
      </w:tr>
      <w:tr w:rsidR="003B0E43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3B0E43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6439A858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165E4D7A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3B0E43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4F29D86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19FDE536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3B0E43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3F4D8D6A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3B0E43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5D996ADE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/točno navesti uvjete za pristupanje ispitu, npr. položen kolokvij, održana prezentacija i sl./</w:t>
            </w:r>
          </w:p>
          <w:p w14:paraId="61A5A804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/gdje je primjenjivo, navesti razlike za redovne i izvanredne studente/</w:t>
            </w:r>
          </w:p>
        </w:tc>
      </w:tr>
      <w:tr w:rsidR="003B0E43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BB400BB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5CDDD84F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BA1304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BA1304" w:rsidRPr="0017531F" w:rsidRDefault="00BA1304" w:rsidP="00BA130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99C1D56" w14:textId="698EB449" w:rsidR="00BA1304" w:rsidRDefault="00BA1304" w:rsidP="00BA13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1. rok: 27. 1. 2026.</w:t>
            </w:r>
          </w:p>
          <w:p w14:paraId="30038B69" w14:textId="2D0755B7" w:rsidR="00BA1304" w:rsidRPr="0017531F" w:rsidRDefault="00BA1304" w:rsidP="00BA13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 rok: 10. 2. 2026.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BA1304" w:rsidRPr="0017531F" w:rsidRDefault="00BA1304" w:rsidP="00BA13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66F493F8" w14:textId="77777777" w:rsidR="00BA1304" w:rsidRDefault="00BA1304" w:rsidP="00BA13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1. rok: 1. 9. 2026.</w:t>
            </w:r>
          </w:p>
          <w:p w14:paraId="346823C5" w14:textId="4FDD81B6" w:rsidR="00BA1304" w:rsidRPr="0017531F" w:rsidRDefault="00BA1304" w:rsidP="00BA1304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 rok: 15. 9. 2026.</w:t>
            </w:r>
          </w:p>
        </w:tc>
      </w:tr>
      <w:tr w:rsidR="003B0E43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536622CE" w:rsidR="003B0E43" w:rsidRPr="0017531F" w:rsidRDefault="00FA0EAB" w:rsidP="00BA1304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Temeljni je cilj kolegija usvajanje teorijskih znanja potrebnih za samostalno izvođenje nastave hrvatskoga jezika za neizvorne govornike u osnovnim i srednjim školama te osposobljavanje studenata za samostalno poučavanje odraslih učenika inojezičnog hrvatskog.</w:t>
            </w:r>
            <w:r w:rsidR="00BA130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</w:tc>
      </w:tr>
      <w:tr w:rsidR="003B0E43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BEA37E7" w14:textId="5A001D38" w:rsidR="00FA0EAB" w:rsidRPr="00FA0EAB" w:rsidRDefault="003B0E43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1. </w:t>
            </w:r>
            <w:r w:rsidR="00FA0EAB"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Uvodne napomene. Plan i program rada. Pregled literature. </w:t>
            </w:r>
          </w:p>
          <w:p w14:paraId="036F5AB6" w14:textId="759018BE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2.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Pojmovi i nazivlje. Učenje i usvajanje jezika. Jednojezičnost, dvojezičnost, višejezičnost.</w:t>
            </w:r>
          </w:p>
          <w:p w14:paraId="61F797A9" w14:textId="362E2198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3.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Obilježja učenika i pojedinačne razlike među učenicima: spol, dob, nadarenost, motivacija i stavovi, strah od jezika. Starosna dob i kognitivne sposobnosti učenika. </w:t>
            </w:r>
          </w:p>
          <w:p w14:paraId="72821A4A" w14:textId="28E85803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4.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Stilovi učenja, strategije učenja i poučavanja inoga jezika. </w:t>
            </w:r>
          </w:p>
          <w:p w14:paraId="0437784E" w14:textId="41F454C8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5.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Metode i pristupi poučavanju inoga jezika. Suvremene metode i moderne tehnologije, e-učenje.</w:t>
            </w:r>
          </w:p>
          <w:p w14:paraId="5F0EFFB5" w14:textId="18516B3E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6.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Ovladavanje inim jezikom. Zabune i odstupanja, vrste odstupanja, jezični prijenos, međujezični utjecaji.</w:t>
            </w:r>
          </w:p>
          <w:p w14:paraId="5D74A582" w14:textId="758273EF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7.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Zajednički europski referentni okvir za strane jezike (ZEROJ) i njegova primjena. Europski portfolio za obrazovanje nastavnika jezika. </w:t>
            </w:r>
            <w:proofErr w:type="spellStart"/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Europass</w:t>
            </w:r>
            <w:proofErr w:type="spellEnd"/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jezična putovnica.</w:t>
            </w:r>
          </w:p>
          <w:p w14:paraId="5EFE5580" w14:textId="071C1855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8.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Program inojezičnoga hrvatskoga za pripremnu nastavu u OŠ i SŠ. Slušanje, govorenje, čitanje, pisanje, međudjelovanje. Prijedlozi aktivnosti i sadržaja za poučavanje i učenje.</w:t>
            </w:r>
          </w:p>
          <w:p w14:paraId="5E22F134" w14:textId="53E013D2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9.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Hrvatska nastava u inozemstvu – nastava jezika i kulture za djecu iseljenika. </w:t>
            </w:r>
            <w:proofErr w:type="spellStart"/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Kurikul</w:t>
            </w:r>
            <w:proofErr w:type="spellEnd"/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hrvatske nastave u inozemstvu. Nastava hrvatskoga jezika na drugim institucijama u inozemstvu.</w:t>
            </w:r>
          </w:p>
          <w:p w14:paraId="7D8C52B2" w14:textId="1BECAC70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10.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Udžbenici, rječnici i gramatike za učenje jezika. Analiza i vrjednovanje udžbenika i priručnika.</w:t>
            </w:r>
          </w:p>
          <w:p w14:paraId="0B4D6BB5" w14:textId="4B754DF4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11.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Igre u nastavi inojezičnog hrvatskog – uloga i primjena didaktičkih igara u nastavi inojezičnoga hrvatskog.</w:t>
            </w:r>
          </w:p>
          <w:p w14:paraId="3429A7BE" w14:textId="2FE546C2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12.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Nastava gramatike inojezičnoga hrvatskoga. Poučavanje padežnome sustavu. Priprema nastavnih materijala prilagođenih polaznicima. </w:t>
            </w:r>
          </w:p>
          <w:p w14:paraId="3D14E536" w14:textId="43E290EE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13.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Nastava gramatike inojezičnoga hrvatskoga. Poučavanje glagolskome sustavu. Priprema nastavnih materijala prilagođenih polaznicima. </w:t>
            </w:r>
          </w:p>
          <w:p w14:paraId="65AA2381" w14:textId="03497004" w:rsidR="00FA0EAB" w:rsidRPr="00FA0EAB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14.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Prosudba jezične i komunikacijske sposobnosti inojezičnih govornika. Pisani i govoreni materijali. Izrada materijala za provjeru znanja. Vrednovanje u nastavi inojezičnoga hrvatskoga.</w:t>
            </w:r>
          </w:p>
          <w:p w14:paraId="380D436D" w14:textId="4E06B2B9" w:rsidR="003B0E43" w:rsidRPr="0017531F" w:rsidRDefault="00FA0EAB" w:rsidP="00FA0EA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15.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FA0EAB">
              <w:rPr>
                <w:rFonts w:ascii="Merriweather" w:eastAsia="MS Gothic" w:hAnsi="Merriweather" w:cs="Times New Roman"/>
                <w:sz w:val="16"/>
                <w:szCs w:val="16"/>
              </w:rPr>
              <w:t>Zaključak. Sabiranje i zaokruživanje gradiva.</w:t>
            </w:r>
          </w:p>
          <w:p w14:paraId="0F5FEE00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E3A408E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(po potrebi dodati seminare i vježbe)</w:t>
            </w:r>
          </w:p>
        </w:tc>
      </w:tr>
      <w:tr w:rsidR="003B0E43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A0FDF69" w14:textId="32954A49" w:rsidR="0014558D" w:rsidRDefault="0014558D" w:rsidP="0014558D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4558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Bašić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</w:t>
            </w:r>
            <w:r w:rsidRPr="0014558D">
              <w:rPr>
                <w:rFonts w:ascii="Merriweather" w:eastAsia="MS Gothic" w:hAnsi="Merriweather" w:cs="Times New Roman"/>
                <w:sz w:val="16"/>
                <w:szCs w:val="16"/>
              </w:rPr>
              <w:t>i Baričević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S. (2024).</w:t>
            </w:r>
            <w:r w:rsidRPr="0014558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14558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Ini jezik hrvatski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14558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Zadar: Sveučilište u Zadru.</w:t>
            </w:r>
          </w:p>
          <w:p w14:paraId="412E7D61" w14:textId="3405B57A" w:rsidR="009870ED" w:rsidRPr="009870ED" w:rsidRDefault="009870ED" w:rsidP="009870E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Odabrana poglavlja u:</w:t>
            </w:r>
          </w:p>
          <w:p w14:paraId="2F8CD31F" w14:textId="77777777" w:rsidR="009870ED" w:rsidRPr="009870ED" w:rsidRDefault="009870ED" w:rsidP="009870ED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Češi, M., Cvikić, L. i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Milović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, S. (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(2012).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Inojezični učenik u okruženju hrvatskoga jezika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AZOO. Dostupno na: </w:t>
            </w:r>
            <w:hyperlink r:id="rId11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http://www.azoo.hr/images/izdanja/Inojezicni_ucenik_web.pdf</w:t>
              </w:r>
            </w:hyperlink>
          </w:p>
          <w:p w14:paraId="488C20C8" w14:textId="77777777" w:rsidR="009870ED" w:rsidRPr="009870ED" w:rsidRDefault="009870ED" w:rsidP="009870ED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Jelaska, Z. i sur. (2005).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Hrvatski kao drugi i strani jezik. 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Zagreb: Hrvatska sveučilišna naklada.</w:t>
            </w:r>
          </w:p>
          <w:p w14:paraId="42D26E4D" w14:textId="77777777" w:rsidR="009870ED" w:rsidRPr="009870ED" w:rsidRDefault="009870ED" w:rsidP="009870ED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Medved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Krajnović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(2010).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Od jezičnosti do višejezičnosti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Leykam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international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DDE4B0E" w14:textId="77777777" w:rsidR="009870ED" w:rsidRPr="009870ED" w:rsidRDefault="009870ED" w:rsidP="009870ED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Odabrani članci u:</w:t>
            </w:r>
          </w:p>
          <w:p w14:paraId="73F20BB5" w14:textId="77777777" w:rsidR="009870ED" w:rsidRPr="009870ED" w:rsidRDefault="009870ED" w:rsidP="009870ED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Lahor – časopis za hrvatski kao materinski, drugi i strani jezik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Hrvatsko filološko društvo, Zagreb, 2006–2013. Dostupno na: </w:t>
            </w:r>
            <w:hyperlink r:id="rId12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http://hrcak.srce.hr/lahor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ili: </w:t>
            </w:r>
            <w:hyperlink r:id="rId13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http://www.hfiloloskod.hr/index.php/casopisi/lahor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0B89B5BE" w14:textId="27B824BA" w:rsidR="003B0E43" w:rsidRPr="009870ED" w:rsidRDefault="009870ED" w:rsidP="009870ED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Croatian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Studies</w:t>
            </w:r>
            <w:proofErr w:type="spellEnd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Review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(Časopis za hrvatske studije), Croatian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Studies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Centre,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Macquarie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University, Sydney, 1997–2013. Dostupno na: </w:t>
            </w:r>
            <w:hyperlink r:id="rId14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http://hrcak.srce.hr/chs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</w:p>
        </w:tc>
      </w:tr>
      <w:tr w:rsidR="003B0E43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2E28DE5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Odabrani udžbenici i priručnici inojezičnog hrvatskog </w:t>
            </w:r>
          </w:p>
          <w:p w14:paraId="186A32BB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color w:val="FF0000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Baričević, S. i Bašić, M. (2018). Raščlamba prijedložno-padežnih izraza u udžbenicima inojezičnoga hrvatskoga.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Magistra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Iadertina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13 (1), 9–38. Dostupno na:  </w:t>
            </w:r>
            <w:hyperlink r:id="rId15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https://hrcak.srce.hr/217835</w:t>
              </w:r>
            </w:hyperlink>
            <w:r w:rsidRPr="009870ED">
              <w:rPr>
                <w:rFonts w:ascii="Merriweather" w:eastAsia="MS Gothic" w:hAnsi="Merriweather" w:cs="Times New Roman"/>
                <w:color w:val="FF0000"/>
                <w:sz w:val="16"/>
                <w:szCs w:val="16"/>
              </w:rPr>
              <w:t xml:space="preserve"> </w:t>
            </w:r>
          </w:p>
          <w:p w14:paraId="3D28EDAD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color w:val="FF0000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Bašić, M. (2014). Interkulturalna sastavnica komunikacijske kompetencije.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Magistra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Iadertina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9 (1), 55–70. Dostupno na: </w:t>
            </w:r>
            <w:hyperlink r:id="rId16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https://hrcak.srce.hr/137242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 </w:t>
            </w:r>
          </w:p>
          <w:p w14:paraId="6632D319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color w:val="FF0000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Bašić, M. (2017). Kontrastivni pristup obradi egzistencijalnih rečenica u nastavi inojezičnoga hrvatskog.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Jezik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64 (5), 161–177. Dostupno na: </w:t>
            </w:r>
            <w:hyperlink r:id="rId17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https://hrcak.srce.hr/190978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46D94A56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Bašić, M. (2017). Inojezični razvoj i teorije dinamičnih sustava.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Croatica</w:t>
            </w:r>
            <w:proofErr w:type="spellEnd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et</w:t>
            </w:r>
            <w:proofErr w:type="spellEnd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 Slavica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Iadertina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13/2 (13.), 287–320. Dostupno na: </w:t>
            </w:r>
            <w:hyperlink r:id="rId18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https://hrcak.srce.hr/198794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</w:p>
          <w:p w14:paraId="1905A06F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Cvikić, L. (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ur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.). (2007).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Drugi jezik hrvatski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Profil </w:t>
            </w: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international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07E877FA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Jelaska, Z. i sur. (2014).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Hrvatski kao ini jezik (B2). Ispitni katalog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Zagreb: NCVVO. Dostupno na: </w:t>
            </w:r>
            <w:hyperlink r:id="rId19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http://dokumenti.ncvvo.hr/HRV_INI_B2/Katalog_INI_hrv_b2.pdf</w:t>
              </w:r>
            </w:hyperlink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Petrović, E. (1997).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Teorija nastave stranih jezika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 Osijek: Pedagoški fakultet.</w:t>
            </w:r>
          </w:p>
          <w:p w14:paraId="7C4F6764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Prebeg-Vilke, M. (1977).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 xml:space="preserve">Uvod u </w:t>
            </w:r>
            <w:proofErr w:type="spellStart"/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glotodidaktiku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 Zagreb: Školska knjiga.</w:t>
            </w:r>
          </w:p>
          <w:p w14:paraId="0D3E62AA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Skljarov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(1987).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Jezik i govor u nastavi stranih jezika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 Zagreb: Školska knjiga.</w:t>
            </w:r>
          </w:p>
          <w:p w14:paraId="1C04E185" w14:textId="77777777" w:rsidR="009870ED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proofErr w:type="spellStart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Skljarov</w:t>
            </w:r>
            <w:proofErr w:type="spellEnd"/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M. (1993).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Teorija i praksa u nastavi stranih jezika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 Zagreb: Školske novine.</w:t>
            </w:r>
          </w:p>
          <w:p w14:paraId="63D07860" w14:textId="61F55684" w:rsidR="003B0E43" w:rsidRPr="009870ED" w:rsidRDefault="009870ED" w:rsidP="009870ED">
            <w:pPr>
              <w:pStyle w:val="ListParagraph"/>
              <w:numPr>
                <w:ilvl w:val="0"/>
                <w:numId w:val="3"/>
              </w:numPr>
              <w:tabs>
                <w:tab w:val="left" w:pos="1218"/>
              </w:tabs>
              <w:spacing w:before="20" w:after="20"/>
              <w:ind w:left="500"/>
              <w:jc w:val="both"/>
              <w:rPr>
                <w:rFonts w:ascii="Times New Roman" w:eastAsia="MS Gothic" w:hAnsi="Times New Roman" w:cs="Times New Roman"/>
                <w:sz w:val="18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Vilke, M. (1991). </w:t>
            </w:r>
            <w:r w:rsidRPr="009870ED">
              <w:rPr>
                <w:rFonts w:ascii="Merriweather" w:eastAsia="MS Gothic" w:hAnsi="Merriweather" w:cs="Times New Roman"/>
                <w:i/>
                <w:iCs/>
                <w:sz w:val="16"/>
                <w:szCs w:val="16"/>
              </w:rPr>
              <w:t>Vaše dijete i jezik – materinji, drugi i strani</w:t>
            </w: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. Zagreb: Školska knjiga.</w:t>
            </w:r>
          </w:p>
        </w:tc>
      </w:tr>
      <w:tr w:rsidR="003B0E43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418B138D" w14:textId="77777777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Hrvatski jezični portal </w:t>
            </w:r>
            <w:hyperlink r:id="rId20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http://hjp.znanje.hr/</w:t>
              </w:r>
            </w:hyperlink>
          </w:p>
          <w:p w14:paraId="0F79D327" w14:textId="77777777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Jezični savjetnik </w:t>
            </w:r>
            <w:hyperlink r:id="rId21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http://jezicni-savjetnik.hr/</w:t>
              </w:r>
            </w:hyperlink>
          </w:p>
          <w:p w14:paraId="4FA64B38" w14:textId="77777777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Bolje je hrvatski </w:t>
            </w:r>
            <w:hyperlink r:id="rId22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http://bolje.hr/</w:t>
              </w:r>
            </w:hyperlink>
          </w:p>
          <w:p w14:paraId="39A08B32" w14:textId="77777777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>Hrvatski pravopis</w:t>
            </w:r>
            <w:r w:rsidRPr="009870ED">
              <w:rPr>
                <w:rFonts w:ascii="Merriweather" w:hAnsi="Merriweather"/>
                <w:sz w:val="16"/>
                <w:szCs w:val="16"/>
              </w:rPr>
              <w:t xml:space="preserve"> </w:t>
            </w:r>
            <w:hyperlink r:id="rId23" w:history="1">
              <w:r w:rsidRPr="009870ED">
                <w:rPr>
                  <w:rStyle w:val="Hyperlink"/>
                  <w:rFonts w:ascii="Merriweather" w:eastAsia="MS Gothic" w:hAnsi="Merriweather" w:cs="Times New Roman"/>
                  <w:sz w:val="16"/>
                  <w:szCs w:val="16"/>
                </w:rPr>
                <w:t>http://pravopis.hr/</w:t>
              </w:r>
            </w:hyperlink>
          </w:p>
          <w:p w14:paraId="3DCC4888" w14:textId="5F08CD90" w:rsidR="003B0E43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870ED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Hrvatska školska gramatika </w:t>
            </w:r>
            <w:r w:rsidRPr="009870ED">
              <w:rPr>
                <w:rStyle w:val="Hyperlink"/>
                <w:rFonts w:ascii="Merriweather" w:eastAsia="MS Gothic" w:hAnsi="Merriweather" w:cs="Times New Roman"/>
                <w:sz w:val="16"/>
                <w:szCs w:val="16"/>
              </w:rPr>
              <w:t>http://gramatika.hr/</w:t>
            </w:r>
          </w:p>
        </w:tc>
      </w:tr>
      <w:tr w:rsidR="003B0E43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3B0E43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3B0E43" w:rsidRPr="0017531F" w:rsidRDefault="003B0E43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3B0E43" w:rsidRPr="0017531F" w:rsidRDefault="003B0E43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3B0E43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77777777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3B0E43" w:rsidRPr="0017531F" w:rsidRDefault="003B0E43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10B5C83D" w:rsidR="003B0E43" w:rsidRPr="0017531F" w:rsidRDefault="00000000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70ED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3B0E43" w:rsidRPr="0017531F" w:rsidRDefault="003B0E43" w:rsidP="003B0E43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3B0E43" w:rsidRPr="0017531F" w:rsidRDefault="00000000" w:rsidP="003B0E43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3B0E43" w:rsidRPr="0017531F" w:rsidRDefault="00000000" w:rsidP="003B0E43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3B0E43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3B0E43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7A31284E" w:rsidR="003B0E43" w:rsidRPr="0017531F" w:rsidRDefault="00912501" w:rsidP="003B0E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seminarski rad</w:t>
            </w:r>
            <w:r w:rsidRPr="0091250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–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25</w:t>
            </w:r>
            <w:r w:rsidRPr="0091250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%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  <w:r w:rsidRPr="0091250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završni ispit –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75</w:t>
            </w:r>
            <w:r w:rsidRPr="00912501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%</w:t>
            </w:r>
          </w:p>
        </w:tc>
      </w:tr>
      <w:tr w:rsidR="003B0E43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870ED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870ED" w:rsidRPr="0017531F" w:rsidRDefault="009870ED" w:rsidP="009870E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4CE17040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9870ED">
              <w:rPr>
                <w:rFonts w:ascii="Merriweather" w:hAnsi="Merriweather" w:cs="Times New Roman"/>
                <w:sz w:val="16"/>
                <w:szCs w:val="20"/>
              </w:rPr>
              <w:t>&lt; 60%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870ED" w:rsidRPr="0017531F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870ED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870ED" w:rsidRPr="0017531F" w:rsidRDefault="009870ED" w:rsidP="009870E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F9C1F4A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9870ED">
              <w:rPr>
                <w:rFonts w:ascii="Merriweather" w:hAnsi="Merriweather" w:cs="Times New Roman"/>
                <w:sz w:val="16"/>
                <w:szCs w:val="20"/>
              </w:rPr>
              <w:t>61 – 70%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870ED" w:rsidRPr="0017531F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870ED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870ED" w:rsidRPr="0017531F" w:rsidRDefault="009870ED" w:rsidP="009870E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3694422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9870ED">
              <w:rPr>
                <w:rFonts w:ascii="Merriweather" w:hAnsi="Merriweather" w:cs="Times New Roman"/>
                <w:sz w:val="16"/>
                <w:szCs w:val="20"/>
              </w:rPr>
              <w:t>71 – 80%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870ED" w:rsidRPr="0017531F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870ED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870ED" w:rsidRPr="0017531F" w:rsidRDefault="009870ED" w:rsidP="009870E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186795B6" w:rsidR="009870ED" w:rsidRPr="009870ED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20"/>
              </w:rPr>
            </w:pPr>
            <w:r w:rsidRPr="009870ED">
              <w:rPr>
                <w:rFonts w:ascii="Merriweather" w:hAnsi="Merriweather" w:cs="Times New Roman"/>
                <w:sz w:val="16"/>
                <w:szCs w:val="20"/>
              </w:rPr>
              <w:t>81 – 90%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870ED" w:rsidRPr="0017531F" w:rsidRDefault="009870ED" w:rsidP="009870ED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3B0E43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3B0E43" w:rsidRPr="0017531F" w:rsidRDefault="00000000" w:rsidP="003B0E4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0E43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B0E43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B0E43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3B0E43" w:rsidRPr="0017531F" w:rsidRDefault="003B0E43" w:rsidP="003B0E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24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3B0E43" w:rsidRPr="0017531F" w:rsidRDefault="003B0E43" w:rsidP="003B0E43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2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34DF9" w14:textId="77777777" w:rsidR="001E2D7E" w:rsidRDefault="001E2D7E" w:rsidP="009947BA">
      <w:pPr>
        <w:spacing w:before="0" w:after="0"/>
      </w:pPr>
      <w:r>
        <w:separator/>
      </w:r>
    </w:p>
  </w:endnote>
  <w:endnote w:type="continuationSeparator" w:id="0">
    <w:p w14:paraId="2634E0D9" w14:textId="77777777" w:rsidR="001E2D7E" w:rsidRDefault="001E2D7E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00"/>
    <w:family w:val="roman"/>
    <w:pitch w:val="variable"/>
    <w:sig w:usb0="A00002BF" w:usb1="5000207A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32D85" w14:textId="77777777" w:rsidR="001E2D7E" w:rsidRDefault="001E2D7E" w:rsidP="009947BA">
      <w:pPr>
        <w:spacing w:before="0" w:after="0"/>
      </w:pPr>
      <w:r>
        <w:separator/>
      </w:r>
    </w:p>
  </w:footnote>
  <w:footnote w:type="continuationSeparator" w:id="0">
    <w:p w14:paraId="48181AF8" w14:textId="77777777" w:rsidR="001E2D7E" w:rsidRDefault="001E2D7E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D4F13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10088"/>
    <w:multiLevelType w:val="hybridMultilevel"/>
    <w:tmpl w:val="34D2BE8C"/>
    <w:lvl w:ilvl="0" w:tplc="935A6C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792541"/>
    <w:multiLevelType w:val="hybridMultilevel"/>
    <w:tmpl w:val="995610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495468">
    <w:abstractNumId w:val="2"/>
  </w:num>
  <w:num w:numId="2" w16cid:durableId="1158496229">
    <w:abstractNumId w:val="0"/>
  </w:num>
  <w:num w:numId="3" w16cid:durableId="1306199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C0578"/>
    <w:rsid w:val="0010332B"/>
    <w:rsid w:val="001443A2"/>
    <w:rsid w:val="0014558D"/>
    <w:rsid w:val="00150B32"/>
    <w:rsid w:val="0017531F"/>
    <w:rsid w:val="00197510"/>
    <w:rsid w:val="001C7C51"/>
    <w:rsid w:val="001E2D7E"/>
    <w:rsid w:val="002048CE"/>
    <w:rsid w:val="002205E5"/>
    <w:rsid w:val="002224D0"/>
    <w:rsid w:val="00226462"/>
    <w:rsid w:val="0022722C"/>
    <w:rsid w:val="0028545A"/>
    <w:rsid w:val="0029080F"/>
    <w:rsid w:val="002E1CE6"/>
    <w:rsid w:val="002F2D22"/>
    <w:rsid w:val="00310F9A"/>
    <w:rsid w:val="00326091"/>
    <w:rsid w:val="00357643"/>
    <w:rsid w:val="00371634"/>
    <w:rsid w:val="00386E9C"/>
    <w:rsid w:val="00393964"/>
    <w:rsid w:val="003B0E43"/>
    <w:rsid w:val="003C2A22"/>
    <w:rsid w:val="003D2E74"/>
    <w:rsid w:val="003D7529"/>
    <w:rsid w:val="003F11B6"/>
    <w:rsid w:val="003F17B8"/>
    <w:rsid w:val="0042511B"/>
    <w:rsid w:val="004373DF"/>
    <w:rsid w:val="004474EF"/>
    <w:rsid w:val="00453362"/>
    <w:rsid w:val="00461219"/>
    <w:rsid w:val="00470F6D"/>
    <w:rsid w:val="00483BC3"/>
    <w:rsid w:val="004B1B3D"/>
    <w:rsid w:val="004B553E"/>
    <w:rsid w:val="00507C65"/>
    <w:rsid w:val="00527C5F"/>
    <w:rsid w:val="005353ED"/>
    <w:rsid w:val="005514C3"/>
    <w:rsid w:val="005E1668"/>
    <w:rsid w:val="005E5F80"/>
    <w:rsid w:val="005F6E0B"/>
    <w:rsid w:val="0062328F"/>
    <w:rsid w:val="00662DC2"/>
    <w:rsid w:val="00684BBC"/>
    <w:rsid w:val="006B333B"/>
    <w:rsid w:val="006B4920"/>
    <w:rsid w:val="00700D7A"/>
    <w:rsid w:val="00721260"/>
    <w:rsid w:val="007361E7"/>
    <w:rsid w:val="007368EB"/>
    <w:rsid w:val="00776F7A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A488A"/>
    <w:rsid w:val="008D45DB"/>
    <w:rsid w:val="0090214F"/>
    <w:rsid w:val="0091202A"/>
    <w:rsid w:val="00912501"/>
    <w:rsid w:val="009163E6"/>
    <w:rsid w:val="00942603"/>
    <w:rsid w:val="009760E8"/>
    <w:rsid w:val="009870ED"/>
    <w:rsid w:val="009947BA"/>
    <w:rsid w:val="00997F41"/>
    <w:rsid w:val="009A3A9D"/>
    <w:rsid w:val="009C56B1"/>
    <w:rsid w:val="009D5226"/>
    <w:rsid w:val="009E2FD4"/>
    <w:rsid w:val="00A06750"/>
    <w:rsid w:val="00A7597D"/>
    <w:rsid w:val="00A9132B"/>
    <w:rsid w:val="00AA1A5A"/>
    <w:rsid w:val="00AC4E8C"/>
    <w:rsid w:val="00AD23FB"/>
    <w:rsid w:val="00AD3240"/>
    <w:rsid w:val="00AF5F01"/>
    <w:rsid w:val="00B71A57"/>
    <w:rsid w:val="00B7307A"/>
    <w:rsid w:val="00BA1304"/>
    <w:rsid w:val="00C02454"/>
    <w:rsid w:val="00C0755C"/>
    <w:rsid w:val="00C3477B"/>
    <w:rsid w:val="00C85956"/>
    <w:rsid w:val="00C964D2"/>
    <w:rsid w:val="00C9733D"/>
    <w:rsid w:val="00CA3783"/>
    <w:rsid w:val="00CB23F4"/>
    <w:rsid w:val="00D136E4"/>
    <w:rsid w:val="00D5334D"/>
    <w:rsid w:val="00D5523D"/>
    <w:rsid w:val="00D6230F"/>
    <w:rsid w:val="00D944DF"/>
    <w:rsid w:val="00DD110C"/>
    <w:rsid w:val="00DD26CD"/>
    <w:rsid w:val="00DE6D53"/>
    <w:rsid w:val="00E06E39"/>
    <w:rsid w:val="00E07D73"/>
    <w:rsid w:val="00E17D18"/>
    <w:rsid w:val="00E30E67"/>
    <w:rsid w:val="00E615F6"/>
    <w:rsid w:val="00EB5A72"/>
    <w:rsid w:val="00F02A8F"/>
    <w:rsid w:val="00F22855"/>
    <w:rsid w:val="00F513E0"/>
    <w:rsid w:val="00F566DA"/>
    <w:rsid w:val="00F82834"/>
    <w:rsid w:val="00F84F5E"/>
    <w:rsid w:val="00FA0EA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filoloskod.hr/index.php/casopisi/lahor" TargetMode="External"/><Relationship Id="rId18" Type="http://schemas.openxmlformats.org/officeDocument/2006/relationships/hyperlink" Target="https://hrcak.srce.hr/198794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://jezicni-savjetnik.hr/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hrcak.srce.hr/lahor" TargetMode="External"/><Relationship Id="rId17" Type="http://schemas.openxmlformats.org/officeDocument/2006/relationships/hyperlink" Target="https://hrcak.srce.hr/190978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hrcak.srce.hr/137242" TargetMode="External"/><Relationship Id="rId20" Type="http://schemas.openxmlformats.org/officeDocument/2006/relationships/hyperlink" Target="http://hjp.znanje.hr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zoo.hr/images/izdanja/Inojezicni_ucenik_web.pdf" TargetMode="External"/><Relationship Id="rId24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hrcak.srce.hr/217835" TargetMode="External"/><Relationship Id="rId23" Type="http://schemas.openxmlformats.org/officeDocument/2006/relationships/hyperlink" Target="http://pravopis.hr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dokumenti.ncvvo.hr/HRV_INI_B2/Katalog_INI_hrv_b2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hrcak.srce.hr/chs" TargetMode="External"/><Relationship Id="rId22" Type="http://schemas.openxmlformats.org/officeDocument/2006/relationships/hyperlink" Target="http://bolje.hr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8438929-2E3D-4206-AE79-A3C7F550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Korisnik</cp:lastModifiedBy>
  <cp:revision>2</cp:revision>
  <cp:lastPrinted>2021-02-12T11:27:00Z</cp:lastPrinted>
  <dcterms:created xsi:type="dcterms:W3CDTF">2025-10-01T09:28:00Z</dcterms:created>
  <dcterms:modified xsi:type="dcterms:W3CDTF">2025-10-01T09:28:00Z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  <property fmtid="{D5CDD505-2E9C-101B-9397-08002B2CF9AE}" pid="3" name="GrammarlyDocumentId">
    <vt:lpwstr>5ba75197313658e0fb333345ac63e34c194903d2218952776f496af088c43668</vt:lpwstr>
  </property>
</Properties>
</file>