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11561E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02D58A59" w:rsidR="004B553E" w:rsidRPr="0017531F" w:rsidRDefault="003F61E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435EB9F0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015928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015928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6BB7D43D" w:rsidR="004B553E" w:rsidRPr="0017531F" w:rsidRDefault="00264F24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264F24">
              <w:rPr>
                <w:rFonts w:ascii="Merriweather" w:hAnsi="Merriweather" w:cs="Times New Roman"/>
                <w:b/>
                <w:sz w:val="18"/>
                <w:szCs w:val="18"/>
              </w:rPr>
              <w:t>Hrvatska književnost 19. stoljeća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160DF7DF" w:rsidR="004B553E" w:rsidRPr="0017531F" w:rsidRDefault="007D2273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5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F0A538C" w:rsidR="004B553E" w:rsidRPr="0017531F" w:rsidRDefault="003F61E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F61EA">
              <w:rPr>
                <w:rFonts w:ascii="Merriweather" w:hAnsi="Merriweather" w:cs="Times New Roman"/>
                <w:b/>
                <w:sz w:val="18"/>
                <w:szCs w:val="18"/>
              </w:rPr>
              <w:t>Pr</w:t>
            </w:r>
            <w:r w:rsidR="00264F24">
              <w:rPr>
                <w:rFonts w:ascii="Merriweather" w:hAnsi="Merriweather" w:cs="Times New Roman"/>
                <w:b/>
                <w:sz w:val="18"/>
                <w:szCs w:val="18"/>
              </w:rPr>
              <w:t>ije</w:t>
            </w:r>
            <w:r w:rsidRPr="003F61EA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diplomski </w:t>
            </w:r>
            <w:r w:rsidR="00152E3F">
              <w:rPr>
                <w:rFonts w:ascii="Merriweather" w:hAnsi="Merriweather" w:cs="Times New Roman"/>
                <w:b/>
                <w:sz w:val="18"/>
                <w:szCs w:val="18"/>
              </w:rPr>
              <w:t>jedno</w:t>
            </w:r>
            <w:r w:rsidRPr="003F61EA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predmetni studij </w:t>
            </w:r>
            <w:r w:rsidR="00264F24">
              <w:rPr>
                <w:rFonts w:ascii="Merriweather" w:hAnsi="Merriweather" w:cs="Times New Roman"/>
                <w:b/>
                <w:sz w:val="18"/>
                <w:szCs w:val="18"/>
              </w:rPr>
              <w:t>H</w:t>
            </w:r>
            <w:r w:rsidRPr="003F61EA">
              <w:rPr>
                <w:rFonts w:ascii="Merriweather" w:hAnsi="Merriweather" w:cs="Times New Roman"/>
                <w:b/>
                <w:sz w:val="18"/>
                <w:szCs w:val="18"/>
              </w:rPr>
              <w:t>rvatskoga jezika i književnosti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31311B0D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1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25F4843F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1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3DC1E25C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1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0DBECD7D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1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23B7AB4B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1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77777777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6526964B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22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3E7289E4" w:rsidR="00453362" w:rsidRPr="0017531F" w:rsidRDefault="003F61EA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6C6DDAFC" w:rsidR="00453362" w:rsidRPr="0017531F" w:rsidRDefault="007D2273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D806FA9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F61E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2AF4C3CF" w:rsidR="00453362" w:rsidRPr="0017531F" w:rsidRDefault="00264F24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Uč. 240, utorkom 12.30-14, predavanja, 14-15.30 uč. 223 seminari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068471F6" w:rsidR="00453362" w:rsidRPr="0017531F" w:rsidRDefault="008D76C6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hrvatski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2532BF0B" w:rsidR="00453362" w:rsidRPr="0017531F" w:rsidRDefault="0001592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24</w:t>
            </w:r>
            <w:r w:rsidR="00264F24">
              <w:rPr>
                <w:rFonts w:ascii="Merriweather" w:hAnsi="Merriweather" w:cs="Times New Roman"/>
                <w:sz w:val="16"/>
                <w:szCs w:val="16"/>
              </w:rPr>
              <w:t>. 2.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264F24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1721407" w:rsidR="00453362" w:rsidRPr="0017531F" w:rsidRDefault="00264F24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015928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 5. 202</w:t>
            </w:r>
            <w:r w:rsidR="00015928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13636E93" w:rsidR="00453362" w:rsidRPr="0017531F" w:rsidRDefault="008D76C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2EF7D0F0" w:rsidR="00453362" w:rsidRPr="0017531F" w:rsidRDefault="008D76C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D76C6">
              <w:rPr>
                <w:rFonts w:ascii="Merriweather" w:hAnsi="Merriweather" w:cs="Times New Roman"/>
                <w:sz w:val="16"/>
                <w:szCs w:val="16"/>
              </w:rPr>
              <w:t>prof. dr. sc. Kornelija Kuva</w:t>
            </w:r>
            <w:r w:rsidR="00264F24">
              <w:rPr>
                <w:rFonts w:ascii="Merriweather" w:hAnsi="Merriweather" w:cs="Times New Roman"/>
                <w:sz w:val="16"/>
                <w:szCs w:val="16"/>
              </w:rPr>
              <w:t>č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0A558E6C" w:rsidR="00453362" w:rsidRPr="0017531F" w:rsidRDefault="008D76C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D76C6">
              <w:rPr>
                <w:rFonts w:ascii="Merriweather" w:hAnsi="Merriweather" w:cs="Times New Roman"/>
                <w:sz w:val="16"/>
                <w:szCs w:val="16"/>
              </w:rPr>
              <w:t>k</w:t>
            </w:r>
            <w:r w:rsidR="00264F24">
              <w:rPr>
                <w:rFonts w:ascii="Merriweather" w:hAnsi="Merriweather" w:cs="Times New Roman"/>
                <w:sz w:val="16"/>
                <w:szCs w:val="16"/>
              </w:rPr>
              <w:t>kuvac</w:t>
            </w:r>
            <w:r w:rsidRPr="008D76C6">
              <w:rPr>
                <w:rFonts w:ascii="Merriweather" w:hAnsi="Merriweather" w:cs="Times New Roman"/>
                <w:sz w:val="16"/>
                <w:szCs w:val="16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762A8EAC" w:rsidR="00453362" w:rsidRPr="0017531F" w:rsidRDefault="008D76C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D76C6">
              <w:rPr>
                <w:rFonts w:ascii="Merriweather" w:hAnsi="Merriweather" w:cs="Times New Roman"/>
                <w:sz w:val="16"/>
                <w:szCs w:val="16"/>
              </w:rPr>
              <w:t>Nakon predavanja i seminara</w:t>
            </w:r>
            <w:r w:rsidR="00264F24">
              <w:rPr>
                <w:rFonts w:ascii="Merriweather" w:hAnsi="Merriweather" w:cs="Times New Roman"/>
                <w:sz w:val="16"/>
                <w:szCs w:val="16"/>
              </w:rPr>
              <w:t xml:space="preserve"> ili srijedom od 10 do 12 (prema dogovoru)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12606F9C" w:rsidR="00453362" w:rsidRPr="0017531F" w:rsidRDefault="008D76C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-II-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5F807263" w:rsidR="00453362" w:rsidRPr="0017531F" w:rsidRDefault="008D76C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Ana Marin, mag. edu. philol. croat. </w:t>
            </w:r>
            <w:r w:rsidR="0011561E">
              <w:rPr>
                <w:rFonts w:ascii="Merriweather" w:hAnsi="Merriweather" w:cs="Times New Roman"/>
                <w:sz w:val="16"/>
                <w:szCs w:val="16"/>
              </w:rPr>
              <w:t xml:space="preserve"> – rodiljni dopust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4D3C580B" w:rsidR="00453362" w:rsidRPr="0017531F" w:rsidRDefault="008D76C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avulelija</w:t>
            </w:r>
            <w:r w:rsidRPr="008D76C6">
              <w:rPr>
                <w:rFonts w:ascii="Merriweather" w:hAnsi="Merriweather" w:cs="Times New Roman"/>
                <w:sz w:val="16"/>
                <w:szCs w:val="16"/>
              </w:rPr>
              <w:t>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72CEB9F1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D76C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0E731C0A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D76C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5C317115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F2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47949A38" w14:textId="7777777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Nakon odslušanih predavanja, seminara i ispunjenih zadataka studenti će moći:</w:t>
            </w:r>
          </w:p>
          <w:p w14:paraId="2AED3AC0" w14:textId="7777777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- nabrojati i kronološki poredati stilske formacije u hrvatskoj </w:t>
            </w:r>
          </w:p>
          <w:p w14:paraId="69F39A82" w14:textId="7C073279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književnosti 19. stoljeća</w:t>
            </w:r>
          </w:p>
          <w:p w14:paraId="417B675C" w14:textId="61374DD9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- imenovati najznačajnije hrvatske književnike 19. stoljeća i </w:t>
            </w:r>
          </w:p>
          <w:p w14:paraId="3639111C" w14:textId="7777777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svrstati ih u pripadajuću stilsku formaciju</w:t>
            </w:r>
          </w:p>
          <w:p w14:paraId="46522D19" w14:textId="646A0D26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- prepoznati strukturalne elemente karakteristične za književni </w:t>
            </w:r>
          </w:p>
          <w:p w14:paraId="5998EE53" w14:textId="7777777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tekst pisan u romantizmu, protorealizmu, realizmu ili modernizmu </w:t>
            </w:r>
          </w:p>
          <w:p w14:paraId="5AFBC29D" w14:textId="7777777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- objasniti društvene uzroke nastanka hrvatskog narodnog </w:t>
            </w:r>
          </w:p>
          <w:p w14:paraId="6A5F4B79" w14:textId="33E511E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preporoda, njegove književne i kulturološke temelje i utjecaj na razvoj hrvatske književnosti</w:t>
            </w:r>
          </w:p>
          <w:p w14:paraId="764FCF83" w14:textId="72EF2BE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- objasniti razliku pojmova hrvatska preporodna književnost i</w:t>
            </w:r>
            <w:r w:rsidRPr="00C71AB2">
              <w:t xml:space="preserve"> 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>književnost romantizma</w:t>
            </w:r>
          </w:p>
          <w:p w14:paraId="6ED8C9DA" w14:textId="7117AE7E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- interpretirati tekstove hrvatskih književnika 19. stoljeća s </w:t>
            </w:r>
          </w:p>
          <w:p w14:paraId="497CFB2B" w14:textId="696FC0F0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obzirom na pojedinačne stilske, sadržajne i ideološke osobitosti kao i osobitosti 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razdoblja </w:t>
            </w:r>
          </w:p>
          <w:p w14:paraId="5ABC87B9" w14:textId="46477474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- usporediti razvoj hrvatske knji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evnosti 19. stoljeća s razvojem </w:t>
            </w:r>
          </w:p>
          <w:p w14:paraId="0DAF9BA7" w14:textId="6D2C6C2A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europskih knji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evnosti </w:t>
            </w:r>
          </w:p>
          <w:p w14:paraId="24F3082C" w14:textId="3B140E27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- kriti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>ki se osvrnuti na knji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 xml:space="preserve">evnopovijesni narativ o hrvatskoj </w:t>
            </w:r>
          </w:p>
          <w:p w14:paraId="1A8D43CC" w14:textId="5692F1DA" w:rsidR="008D76C6" w:rsidRPr="00C71AB2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t>knji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>evnosti 19. st.</w:t>
            </w:r>
          </w:p>
          <w:p w14:paraId="13E2A08B" w14:textId="133C34A6" w:rsidR="00310F9A" w:rsidRPr="0017531F" w:rsidRDefault="008D76C6" w:rsidP="008D76C6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C71AB2">
              <w:rPr>
                <w:rFonts w:ascii="Merriweather" w:hAnsi="Merriweather" w:cs="Times New Roman"/>
                <w:sz w:val="16"/>
                <w:szCs w:val="16"/>
              </w:rPr>
              <w:lastRenderedPageBreak/>
              <w:t>- napisati stru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>ni rad iz podru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>ja koje obuhvaća sadr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hAnsi="Merriweather" w:cs="Times New Roman"/>
                <w:sz w:val="16"/>
                <w:szCs w:val="16"/>
              </w:rPr>
              <w:t>aj kolegij</w:t>
            </w:r>
            <w:r w:rsidR="00C71AB2" w:rsidRPr="00C71AB2">
              <w:rPr>
                <w:rFonts w:ascii="Merriweather" w:hAnsi="Merriweather" w:cs="Times New Roman"/>
                <w:sz w:val="16"/>
                <w:szCs w:val="16"/>
              </w:rPr>
              <w:t>a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4C254923" w14:textId="0552F6EB" w:rsidR="00847D00" w:rsidRPr="00847D00" w:rsidRDefault="00847D00" w:rsidP="00847D0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47D00">
              <w:rPr>
                <w:rFonts w:ascii="Merriweather" w:hAnsi="Merriweather" w:cs="Times New Roman"/>
                <w:sz w:val="16"/>
                <w:szCs w:val="16"/>
              </w:rPr>
              <w:t xml:space="preserve">Razvoj viših stupnjeva kompetencije literarnoestetskoga </w:t>
            </w:r>
            <w:r>
              <w:rPr>
                <w:rFonts w:ascii="Merriweather" w:hAnsi="Merriweather" w:cs="Times New Roman"/>
                <w:sz w:val="16"/>
                <w:szCs w:val="16"/>
              </w:rPr>
              <w:t>č</w:t>
            </w:r>
            <w:r w:rsidRPr="00847D00">
              <w:rPr>
                <w:rFonts w:ascii="Merriweather" w:hAnsi="Merriweather" w:cs="Times New Roman"/>
                <w:sz w:val="16"/>
                <w:szCs w:val="16"/>
              </w:rPr>
              <w:t>itanja tekstova</w:t>
            </w:r>
          </w:p>
          <w:p w14:paraId="4D73B455" w14:textId="1B2F7D18" w:rsidR="00847D00" w:rsidRPr="00847D00" w:rsidRDefault="00847D00" w:rsidP="00847D0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847D00">
              <w:rPr>
                <w:rFonts w:ascii="Merriweather" w:hAnsi="Merriweather" w:cs="Times New Roman"/>
                <w:sz w:val="16"/>
                <w:szCs w:val="16"/>
              </w:rPr>
              <w:t>hrvatske knji</w:t>
            </w:r>
            <w:r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847D00">
              <w:rPr>
                <w:rFonts w:ascii="Merriweather" w:hAnsi="Merriweather" w:cs="Times New Roman"/>
                <w:sz w:val="16"/>
                <w:szCs w:val="16"/>
              </w:rPr>
              <w:t>evnosti 19. stoljeća.</w:t>
            </w:r>
          </w:p>
          <w:p w14:paraId="12CA2F78" w14:textId="10491C0D" w:rsidR="00310F9A" w:rsidRPr="0017531F" w:rsidRDefault="00847D00" w:rsidP="00847D0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847D00">
              <w:rPr>
                <w:rFonts w:ascii="Merriweather" w:hAnsi="Merriweather" w:cs="Times New Roman"/>
                <w:sz w:val="16"/>
                <w:szCs w:val="16"/>
              </w:rPr>
              <w:t>Aktualizacija i suvremen pristup hrvatskoj knji</w:t>
            </w:r>
            <w:r>
              <w:rPr>
                <w:rFonts w:ascii="Merriweather" w:hAnsi="Merriweather" w:cs="Times New Roman"/>
                <w:sz w:val="16"/>
                <w:szCs w:val="16"/>
              </w:rPr>
              <w:t>ž</w:t>
            </w:r>
            <w:r w:rsidRPr="00847D00">
              <w:rPr>
                <w:rFonts w:ascii="Merriweather" w:hAnsi="Merriweather" w:cs="Times New Roman"/>
                <w:sz w:val="16"/>
                <w:szCs w:val="16"/>
              </w:rPr>
              <w:t>evnoj baštini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334CB07B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03A7F684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4F2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6BAE7E04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47D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6530185D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D2273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13E0652F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  <w:r w:rsidR="00264F2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FF40452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4AFD8AE3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31388930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  <w:r w:rsidR="00C71AB2">
              <w:rPr>
                <w:rFonts w:ascii="Merriweather" w:hAnsi="Merriweather" w:cs="Times New Roman"/>
                <w:sz w:val="16"/>
                <w:szCs w:val="16"/>
              </w:rPr>
              <w:t xml:space="preserve"> oba položena kolokvija (iznad 50%) zamjenjuju pismeni ispit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76857E92" w14:textId="77777777" w:rsidR="00AA5DF2" w:rsidRDefault="00C71AB2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Nazočnost na predavanjima i seminarima min. 70%, </w:t>
            </w:r>
            <w:r w:rsidR="00847D0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Izložen </w:t>
            </w:r>
            <w:r w:rsidR="00264F24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napisan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seminarski rad</w:t>
            </w:r>
            <w:r w:rsidR="007D227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</w:p>
          <w:p w14:paraId="6632C538" w14:textId="77777777" w:rsidR="00AA5DF2" w:rsidRDefault="00AA5DF2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Riješena oba kolokvija odgovaraju pismenom ispitu. </w:t>
            </w:r>
          </w:p>
          <w:p w14:paraId="42D023B1" w14:textId="2764EF08" w:rsidR="00FC2198" w:rsidRDefault="007D2273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Zadnja verzija rada treba biti predana 15 dana nakon izlaganja, a najkasnije tjedan dana prije završetka nastave (uz opravdani razlog kašnjenja koji treba na vrijeme reći nositelju kolegija i suradnici na nastavi seminara).</w:t>
            </w:r>
          </w:p>
          <w:p w14:paraId="0D2CFA0D" w14:textId="77777777" w:rsidR="00847D00" w:rsidRPr="00847D00" w:rsidRDefault="00847D00" w:rsidP="00847D0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54DEE6BC" w14:textId="6F4C8A3C" w:rsidR="00847D00" w:rsidRDefault="00847D00" w:rsidP="00847D0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NEOPRAVDANO </w:t>
            </w:r>
            <w:r w:rsidRPr="00847D00">
              <w:rPr>
                <w:rFonts w:ascii="Merriweather" w:eastAsia="MS Gothic" w:hAnsi="Merriweather" w:cs="Times New Roman"/>
                <w:sz w:val="16"/>
                <w:szCs w:val="16"/>
              </w:rPr>
              <w:t>NEIZVRŠENI ZADATCI NEĆE SE ZAMJENJIVATI DAVANJEM DODATNOG SEMINARSKOG RADA NEGO ĆE STUDENT TREBATI PONOVNO SLUŠATI KOLEGIJ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61A5A804" w14:textId="5D50B85F" w:rsidR="00847D00" w:rsidRPr="00C71AB2" w:rsidRDefault="00847D00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4856DFC3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082A236E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C71AB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471" w:type="dxa"/>
            <w:gridSpan w:val="12"/>
            <w:vAlign w:val="center"/>
          </w:tcPr>
          <w:p w14:paraId="1307FC56" w14:textId="6FF741AF" w:rsidR="00FC2198" w:rsidRPr="0017531F" w:rsidRDefault="00B3733E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9. i 23. 6. 2026.</w:t>
            </w:r>
          </w:p>
        </w:tc>
        <w:tc>
          <w:tcPr>
            <w:tcW w:w="2112" w:type="dxa"/>
            <w:gridSpan w:val="7"/>
            <w:vAlign w:val="center"/>
          </w:tcPr>
          <w:p w14:paraId="346823C5" w14:textId="045FC0C0" w:rsidR="00FC2198" w:rsidRPr="0017531F" w:rsidRDefault="00FF1FA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2. i 16. 9. 2026.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97B2898" w14:textId="0517D2A5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Prikaz povijesnog razvoja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evnosti 19. stoljeća s najva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nijim autorima i njihovim opusima te stilovima, pravcima i modelima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evnosti od hrvatskog narodnog preporoda, preko protorealizma i realizma do za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etaka moderne. Cilj je upoznati studente s razvojem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evnosti 19. stoljeća u konstituiranju nacionalnog identiteta i kulure, i to u kontekstu s paralelnim društvenim i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evnopovijesnim zbivanjima u ostalim europskim zemljama. </w:t>
            </w:r>
          </w:p>
          <w:p w14:paraId="232A0C09" w14:textId="3D611A75" w:rsidR="00FC2198" w:rsidRPr="0017531F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evnici: Stanko Vraz, Petar Preradović, Ivan 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uranić, Dimitrija Demeter, Matija 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uranić, Antun Nem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ić, Dragojla Jarnevićeva, Janko Jurković, Luka Botić, Mato Vodopić, Franjo Marković, August Šenoa, Rikard Jorgovanić, Ante Kova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ić, Eugen Kumi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ić, Josip Kozarac, Vjenceslav Novak, Ksaver Šandor Gjalski, Josip Eugen Tomić, Fran 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uranić, Silvije Strahimir Kranj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ević, Jagoda Truhelka,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Jagoda Brlić,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Janko Leskovar, Antun Gustav Matoš, Ivo Vojnović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3D75D143" w14:textId="66DA0B6A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1. Upoznavanje sa sadr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ajem kolegija. Po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etci novije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evnosti. Hrvatski narodni</w:t>
            </w:r>
          </w:p>
          <w:p w14:paraId="0183E07C" w14:textId="496FCBF3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preporod. Ilirski pokret. Ilirizam, ilirsko ime. Ilirizam i kroatizam. Ljudevit Gaj. Novine horvatzke 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Danica. Antun Mihanović. Janko Drašković.</w:t>
            </w:r>
          </w:p>
          <w:p w14:paraId="750AC295" w14:textId="1ABB9E2F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2. Okušavanje u razli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itim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evnim vrstama - Ljudevit Farkaš Vukotinović. Dramsko stvaralaštvo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Dimitrija Demetra. Poema Grobni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ko polje. Zaokupljenost povijesnom tematikom - historicizam.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Ivan Kukuljević Sakcinski. Va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nost putopisne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evnosti u preporodu.</w:t>
            </w:r>
            <w:r w:rsidR="0068463A">
              <w:t xml:space="preserve"> </w:t>
            </w:r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>Hrvatski preporodni putopisi. S. Vraz, Matija Maţuranić, Antun Nem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>ić.</w:t>
            </w:r>
          </w:p>
          <w:p w14:paraId="18E99E49" w14:textId="427CC6A3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3. Stanko Vraz i osnivanje Kola, 1842. Pjesnik, kriti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ar, putopisac, prevoditelj. Preporodna gibanja u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Dalmaciji.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asopis Zora dalmatinska. </w:t>
            </w:r>
          </w:p>
          <w:p w14:paraId="60AC1B1E" w14:textId="61FF21E2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4. Razvoj poezije nakon S. Vraza. Pro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imanje klasicizma i romantizma u hrvatskoj poeziji narodnog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preporoda. Romanti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ar - Petar Preradović. Patriotizam, refleksivnost, misticizam. Ivan Ma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uranić.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Individualizam i kolektivizam.</w:t>
            </w:r>
            <w:r w:rsidR="0068463A">
              <w:t xml:space="preserve"> </w:t>
            </w:r>
            <w:r w:rsidR="0068463A" w:rsidRPr="0068463A">
              <w:rPr>
                <w:rFonts w:ascii="Merriweather" w:eastAsia="MS Gothic" w:hAnsi="Merriweather" w:cs="Times New Roman"/>
                <w:sz w:val="16"/>
                <w:szCs w:val="16"/>
              </w:rPr>
              <w:t>Preporodne pjesnikinje (Ana Vidović, Dragojla Jarnevićeva, Jagoda Brlić).</w:t>
            </w:r>
          </w:p>
          <w:p w14:paraId="383DB4EE" w14:textId="19ED98B3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5. Druga polovica 19. stoljeća u Europi i Hrvatskoj. Bachov apsolutizam i zamiranje preporodnih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gibanja. Mirko Bogović. Pjesnik, dramatiĉar, urednik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asopisa Neven. Proza i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evna kritika u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doba hrvatskog narodnog preporoda. </w:t>
            </w:r>
          </w:p>
          <w:p w14:paraId="3252D904" w14:textId="77777777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6. Razvoj novele u preporodno doba i nakon Bachova apsolutizma. Vukotinović, Sakcinski,</w:t>
            </w:r>
          </w:p>
          <w:p w14:paraId="168E4AE1" w14:textId="259C1EBF" w:rsidR="00FC2198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Demeter, Bogović, Tkal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ević. Povijesne novele. Kukuljevićevo uvo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đ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enje aktualne tematike. Po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etci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psihološke novele. Dragojla Jarnevićeva. Pripovijesti. Dnevni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ka proza. Pojava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evnih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etnika: Janko Jurković, Luka Botić, Vladimir Nikolić</w:t>
            </w:r>
          </w:p>
          <w:p w14:paraId="2CB7C778" w14:textId="5F77A215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7. Razvoj hrvatske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evnosti za vrijeme i nakon Bachova apsolutizma. 50-te i 60-te godine 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Hrvatskoj.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 u funkciji konstituiranja moderne nacije. Djelovanje triju literarnih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generacija. 1. generacija: Jarnevićeva, Bogović, Grgo Martić,</w:t>
            </w:r>
          </w:p>
          <w:p w14:paraId="4C02958C" w14:textId="52CBDBCD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Ivan Frano Jukić. 2. generacija: Luka Botić. Motiv vjerske tolerancije.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Neven, Kolo.</w:t>
            </w:r>
          </w:p>
          <w:p w14:paraId="0BEE5CE4" w14:textId="3398EF13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8. Treća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evna generacija – ulazi potkraj apsolutizma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: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V. Korajac, B. Lorković, I. Perkovac, M.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Kraljević. Naše gore list. Predšenoina i Šenoina generacija. Pokušaji romana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prije Šenoe. M.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Kraljević. A. Nem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,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D. Jarnevićeva – iskustvo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ene. Ivan Krstitelj Tkal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ić. Pripovijesti Mate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Vodopića.</w:t>
            </w:r>
          </w:p>
          <w:p w14:paraId="41A50CA9" w14:textId="1EB4F29F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9. Protorealizam u hrvatskoj knjiţevnosti. „Šenoino doba“. Va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nost Matice hrvatske za razvoj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evnosti.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asopis Vijenac. Franjo Marković. Šenoin programatski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lanak Naša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evnost,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1865. Polemike mladog Šenoe. Urednik Vijenca 1874-1881. Šenoino pjesništvo. Povjestice.</w:t>
            </w:r>
          </w:p>
          <w:p w14:paraId="738E6AA0" w14:textId="2BD52AC4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10. Šenoina popularizacija romana. Model povijesnog romana A. Šenoe. Feljtonistika. Kritika.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Praški listovi. Zagrebulje. O hrvatskom kazalištu. Šenoini romani i pripovijesti iz suvremenog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ivota.</w:t>
            </w:r>
          </w:p>
          <w:p w14:paraId="0A947F3A" w14:textId="0F1DA774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11. Hrvatski realizam. Pisci nakon Šenoe. Josip Eugen Tomić. Nastavljanje na Šenou: povijesna 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suvremena tematika. Tomićev kazališni rad. Ferdo Becić. Eugen Kumi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 i borba za naturalizam.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evna polemika. Kumi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ićev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lanak O romanu. Sukob kriti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ara: Josip Pasarić i Janko Ibler.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Prodor regionalnih motiva u hrvatsku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evnost.</w:t>
            </w:r>
          </w:p>
          <w:p w14:paraId="39ED7057" w14:textId="53516A76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12. Miješanje romanti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arskih, realisti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kih, naturalisti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kih i modernisti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kih tendencija pri kraju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stoljeća. Rikard Flieder Jorgovanić – prvi hrvatski fantasti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ar. Razvoj fantasti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noga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anra (J.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Leskovar, A. G. Matoš)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Ante Kova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ić. Bulevarski roman. Travestija. Kova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ićeva feljtonistika,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pripovijesti i romani. U registraturi, 1888. – zabranjeni roman.</w:t>
            </w:r>
          </w:p>
          <w:p w14:paraId="216E586F" w14:textId="0F69AABE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13. Otpor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evnika khuenovskoj Hrvatskoj. Josip Kozarac, Pripovijesti i romani J. Kozarca. K. Š.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Gjalski. Tematika propadanja plemstva. Vjenceslav Novak.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evni 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asopisi druge polovice 19. st.</w:t>
            </w:r>
          </w:p>
          <w:p w14:paraId="31651C9B" w14:textId="189BC42E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14. Pjesnici realizma. Poezija Silvija Strahimira Kranj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evića. Razvoj dramske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evnosti na kraju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stoljeća. Po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etci „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enskog pisma“ (nakon Jarnevićeve: Jagoda Truhelka). Po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etci M. J. Zagorke.</w:t>
            </w:r>
          </w:p>
          <w:p w14:paraId="6BEF0205" w14:textId="0CB43245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15. Hrvatska knji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evna kritika u razdoblju realizma. Kraj 19. stoljeća – putem prema Moderni.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Kršenje realisti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kih konvencija. Janko Leskovar, Rikard Flieder Jorgovanić. Pojava A. G. Matoša i</w:t>
            </w:r>
            <w:r w:rsidR="0068463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Iva Vojnovića.</w:t>
            </w:r>
          </w:p>
          <w:p w14:paraId="6E3A408E" w14:textId="4B2D69E9" w:rsidR="00C71AB2" w:rsidRPr="00C71AB2" w:rsidRDefault="00C71AB2" w:rsidP="00C71AB2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C71AB2">
              <w:rPr>
                <w:rFonts w:ascii="Merriweather" w:eastAsia="MS Gothic" w:hAnsi="Merriweather" w:cs="Times New Roman"/>
                <w:sz w:val="16"/>
                <w:szCs w:val="16"/>
              </w:rPr>
              <w:t>Literatura za svaku jedinicu nalazi se u e-kolegiju.</w:t>
            </w:r>
          </w:p>
        </w:tc>
      </w:tr>
      <w:tr w:rsidR="00FC2198" w:rsidRPr="0017531F" w14:paraId="3D0DF71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58EC81F1" w14:textId="4B55696C" w:rsidR="00AA50A4" w:rsidRDefault="00AA50A4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Vinko Brešić, Hrvatska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 19. stoljeća, Zagreb, 2015.</w:t>
            </w:r>
          </w:p>
          <w:p w14:paraId="005BFD65" w14:textId="0B8A6FB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Miroslav Šicel, Povijest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evnosti, knj. I. Od Andrije Ka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ića Miošića do Augusta Šenoe</w:t>
            </w:r>
          </w:p>
          <w:p w14:paraId="6414C16A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(1750.-1881.) (poglavlja od ilirizma do Šenoe)</w:t>
            </w:r>
          </w:p>
          <w:p w14:paraId="0B89B5BE" w14:textId="75F0FC8D" w:rsidR="00FC2198" w:rsidRPr="0017531F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Miroslav Šicel, Povijest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 knj. II. Realizam, Zagreb, 2005.</w:t>
            </w:r>
          </w:p>
        </w:tc>
      </w:tr>
      <w:tr w:rsidR="00FC2198" w:rsidRPr="0017531F" w14:paraId="4FA6F90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4C52F0DC" w14:textId="4DA25A6C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Josip Bratulić, Hrvatsko devetnaesto stoljeće. Politika, jezik, kultura, Hrvatska sveu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ilišna naklada,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Dr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avni arhiv u Pazinu, Zagreb, 2018.</w:t>
            </w:r>
          </w:p>
          <w:p w14:paraId="24EF000A" w14:textId="3BA010C8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Vinko Brešić, Hrvatska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 19. stoljeća, Zagreb, 2015.</w:t>
            </w:r>
          </w:p>
          <w:p w14:paraId="7FE14A7C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Davor Dukić, Ilirocentrizam i intranacionalna komparatistika: prolegomena za reviziju</w:t>
            </w:r>
          </w:p>
          <w:p w14:paraId="141667E6" w14:textId="3F8508C2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knjiţevnopovijesnog narativa o 1830-im i 1840-im godinama, u: Transmisije kroatistike (zbornik),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2015., http://kroat.ffzg.unizg.hr/images/pdf/Transmisije_kroatistike.pdf</w:t>
            </w:r>
          </w:p>
          <w:p w14:paraId="3A9C9A27" w14:textId="42F5DF3C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Branimir Donat, Prakseologija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 I. Predmodernost i modernost. Zagreb, 2011.</w:t>
            </w:r>
          </w:p>
          <w:p w14:paraId="24D2A6F8" w14:textId="5AE195A1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 Petar Preradović u klju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novog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itanja</w:t>
            </w:r>
          </w:p>
          <w:p w14:paraId="405C3D54" w14:textId="08865761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 Ideologi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nost pripovjedaka Ivana Perkovca</w:t>
            </w:r>
          </w:p>
          <w:p w14:paraId="2DA99310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 Vilim Korajac u tradiciji narodnog smijeha</w:t>
            </w:r>
          </w:p>
          <w:p w14:paraId="5D7B9498" w14:textId="4526761F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 Stotinu godina fantasti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noga u hrvatskoj prozi</w:t>
            </w:r>
          </w:p>
          <w:p w14:paraId="69006581" w14:textId="43E13CC1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Ivan Bošković,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 neoklasicizma i romantizma, Split, 2007. (od 48. do 161. str.)</w:t>
            </w:r>
          </w:p>
          <w:p w14:paraId="4F430158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https://www.ffst.unist.hr/images/50013807/Boskovic_hknr.pdf</w:t>
            </w:r>
          </w:p>
          <w:p w14:paraId="589773FE" w14:textId="2E56CC48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Antun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esko, Za Kranj</w:t>
            </w:r>
            <w:r w:rsidR="007D2273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evića. Od arhivacije do kanonizacije, Zagreb – Dubrovnik, Matica hrvatska</w:t>
            </w:r>
          </w:p>
          <w:p w14:paraId="4549CE1C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– Matica hrvatska – ogranak Dubrovnik, 2015.</w:t>
            </w:r>
          </w:p>
          <w:p w14:paraId="3B74E529" w14:textId="45F0669D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Milorad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ivan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ević - Ivo Frangeš: Ilirizam. Realizam. (Povijest hrvatske knjiţevnosti, knj, 4,</w:t>
            </w:r>
          </w:p>
          <w:p w14:paraId="0E881955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Zagreb, 1975.)</w:t>
            </w:r>
          </w:p>
          <w:p w14:paraId="164097A4" w14:textId="68936AA9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Miroslav Šicel, Hrvatska knji</w:t>
            </w:r>
            <w:r w:rsidR="007D2273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 19. i 20. stoljeća, Zagreb, 1997. (poglavlja posvećena ilirizmu</w:t>
            </w:r>
          </w:p>
          <w:p w14:paraId="4706262D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 realizmu)</w:t>
            </w:r>
          </w:p>
          <w:p w14:paraId="51F35DA5" w14:textId="7D834B7F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Slavko Je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ić, Hrvatska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 od po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etaka do danas (1100.-1941.), Zagreb, 1944; 1993.;</w:t>
            </w:r>
          </w:p>
          <w:p w14:paraId="005C5FDB" w14:textId="22D82F04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Ivo Frangeš, Povijest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evnosti, Zagreb – Ljubljana, 1987.</w:t>
            </w:r>
          </w:p>
          <w:p w14:paraId="205AC6B4" w14:textId="12339106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Dubravko Jel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ić, Hrvatski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evni romantizam, Zagreb, 2002.</w:t>
            </w:r>
          </w:p>
          <w:p w14:paraId="5585ABB9" w14:textId="7E36F9A2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Slobodan Prosperov Novak, Povijest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evnosti, Zagreb, 2004;</w:t>
            </w:r>
          </w:p>
          <w:p w14:paraId="0419CB3A" w14:textId="1FA0AC9B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Dunja Detoni-Dujmić, Ljepša polovica knji</w:t>
            </w:r>
            <w:r w:rsidR="007D2273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evnosti, Zagreb, 1998.</w:t>
            </w:r>
          </w:p>
          <w:p w14:paraId="6C961C93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Ante Franić, Hrvatski putopisi romantizma, 1983.</w:t>
            </w:r>
          </w:p>
          <w:p w14:paraId="55D32F8F" w14:textId="262805C9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Ante Stamać,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udni ljudi Augusta Šenoe. U: Rasprave i eseji o hrvatskoj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evnosti, Rijeka, 1997.</w:t>
            </w:r>
          </w:p>
          <w:p w14:paraId="21D45A0B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Nikola Batušić, Hrvatska drama 19. stoljeća, Zagreb, 1981.</w:t>
            </w:r>
          </w:p>
          <w:p w14:paraId="0C8CD492" w14:textId="32387552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Krešimir Nemec, Povijest hrvatskog romana od po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etaka do kraja devetnaestog stoljeća, Zagreb,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1994.</w:t>
            </w:r>
          </w:p>
          <w:p w14:paraId="1B3149ED" w14:textId="0900F21A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Nemec, Krešimir. 1992. Šenoina koncepcija povijesnog romana. Umjetnost rije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 36. (2), str. 155-164.</w:t>
            </w:r>
          </w:p>
          <w:p w14:paraId="4CEDBCF3" w14:textId="38915085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Nemec, Krešimir. 1998. Poetika hajdu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ko-turske novelistike. U: Dani hvarskoga kazališta(24),</w:t>
            </w:r>
          </w:p>
          <w:p w14:paraId="5776846D" w14:textId="353AEF0F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Hrvatska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 u doba preporoda (ilirizam, romantizam),str. 112-123.</w:t>
            </w:r>
          </w:p>
          <w:p w14:paraId="78C334BE" w14:textId="4A2E19A2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Zvjezdana Rados, Hrvatska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 u Zadru (19. st.), Zadar, 2007.</w:t>
            </w:r>
          </w:p>
          <w:p w14:paraId="73CB537B" w14:textId="220973C4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Marina Protrka, Stvaranje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evne nacije. Oblikovanje kanona u hrvatskoj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evnoj periodici 19.</w:t>
            </w:r>
          </w:p>
          <w:p w14:paraId="5A4E9CA1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stoljeća. FF Zagreb, 2008.</w:t>
            </w:r>
          </w:p>
          <w:p w14:paraId="14DBAB93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https://archive.org/details/StvaranjeKnjievneNacije</w:t>
            </w:r>
          </w:p>
          <w:p w14:paraId="44031D2C" w14:textId="5C77B90A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Šicel, M. Polemike o realizmu i naturalizmu u hrvatskoj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evnosti. u Dani hvarskog kazališta: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Gra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đ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 i rasprave o hrvatskoj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 i kazalištu., Vol. 26 (2001) 1</w:t>
            </w:r>
          </w:p>
          <w:p w14:paraId="2C0DC91B" w14:textId="14E5118E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Pavli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ić, Pavao, Kojoj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evnoj vrsti pripada Smrt Smail-age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engića? Umjetnost rije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: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asopis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za znanost o knji</w:t>
            </w:r>
            <w:r w:rsidR="007D2273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evnosti, 35 (1991), 3 ; str. 187-201.</w:t>
            </w:r>
          </w:p>
          <w:p w14:paraId="2DBB1143" w14:textId="526F7E7F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Tomasović, Mirko. 2003. »Neopetrarkizam i repetrarkizam u hrvatskom romantizmu«, Forum, 42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(2003) 1–3, str. 331–346.</w:t>
            </w:r>
          </w:p>
          <w:p w14:paraId="0920151B" w14:textId="39411AC2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Partyka, Maria Dabrowska.1984. Projekcija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itaoca u Šenoinu romanu.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Umjetnost rije</w:t>
            </w:r>
            <w:r w:rsidR="007D2273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 28., br. 4.,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str. 305-313.</w:t>
            </w:r>
          </w:p>
          <w:p w14:paraId="2ED6550C" w14:textId="48DDB49C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Kornelija Kuva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-Leva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ić, Moć i nemoć fantastike,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evni krug Split, 2013.</w:t>
            </w:r>
          </w:p>
          <w:p w14:paraId="7EE3591B" w14:textId="21D17F77" w:rsid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Kornelija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Kuvač-Levačić, Emocijski narativi o traumi silovanja u hrvatskoj književnosti od 19. do 21. stoljeća // Bosanskohercegovački slavistički kongres III. Zbornik radova, knjiga 2. / Bavrka, Jelena ; Ibrišimović-Šabić, Adijata ; Murtić, Edina (ur.).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Sarajevo: Slavistički komitet, 2022. str. 199-220</w:t>
            </w:r>
          </w:p>
          <w:p w14:paraId="7D13C122" w14:textId="07465FFE" w:rsid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Kornelija Kuvač-Levačić,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Novigradska kula kao heterotopija krize i devijacije u romanu Aug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u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sta Šenoe Kletva // 800 godina od obnove rimske kule i prvog spomena imena Novigrad u pisanim izvorima / Uglešić, Ante ; Begonja, Zlatko (ur.).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Zadar: Sveučilište u Zadru, Općina Novigrad, 2021. str. 249-25</w:t>
            </w:r>
          </w:p>
          <w:p w14:paraId="0770FF98" w14:textId="1D661E89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Kornelija Kuva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-Leva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ić, Reprezentacija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enske neplodnosti u hrvatskoj tradicijskoj kulturi 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 od kraja 19. do po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etka 21. stoljeća. // Narodna umjetnost: hrvatski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asopis za</w:t>
            </w:r>
          </w:p>
          <w:p w14:paraId="150A26B0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etnologiju i folkloristiku. 50 (2013) , 2; 188-203</w:t>
            </w:r>
          </w:p>
          <w:p w14:paraId="417AF7D1" w14:textId="61C2AD28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Kornelija Kuva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-Leva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ić, Motivi ranih maj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inskih praksa unutar konstrukcije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evnih</w:t>
            </w:r>
          </w:p>
          <w:p w14:paraId="2581EA83" w14:textId="77777777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ideologema (J. E. Tomić, Melita, 1899. i Mara Švel-Gamiršek, Mati, 1942.). U:</w:t>
            </w:r>
          </w:p>
          <w:p w14:paraId="040E786A" w14:textId="4C00ACE3" w:rsidR="00391C47" w:rsidRPr="00391C47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Bosanskohercegova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ki slavisti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ki kongres, Zbornik radova, knjiga 2. 2 (2012) ; 303-318</w:t>
            </w:r>
          </w:p>
          <w:p w14:paraId="63D07860" w14:textId="7B03674A" w:rsidR="00391C47" w:rsidRPr="0017531F" w:rsidRDefault="00391C47" w:rsidP="00391C47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Kornelija Kuva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-Leva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ić, Porodni peĉat – mitsko konstituiranje glavnog ţenskog lika u pri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Dragojle Jarnevićeve i Vesne Bige. U:Umjetnost rije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: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asopis za znanost o knji</w:t>
            </w:r>
            <w:r w:rsidR="002E090D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91C47">
              <w:rPr>
                <w:rFonts w:ascii="Merriweather" w:eastAsia="MS Gothic" w:hAnsi="Merriweather" w:cs="Times New Roman"/>
                <w:sz w:val="16"/>
                <w:szCs w:val="16"/>
              </w:rPr>
              <w:t>evnosti. 1-2(2011) ; 15-31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5F621D7" w14:textId="77777777" w:rsidR="00FC2198" w:rsidRDefault="00356375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 xml:space="preserve">Lektira za </w:t>
            </w:r>
            <w:r w:rsidR="00F64C9C">
              <w:rPr>
                <w:rFonts w:ascii="Merriweather" w:hAnsi="Merriweather" w:cs="Times New Roman"/>
                <w:b/>
                <w:sz w:val="16"/>
                <w:szCs w:val="16"/>
              </w:rPr>
              <w:t>jedno</w:t>
            </w:r>
            <w:r>
              <w:rPr>
                <w:rFonts w:ascii="Merriweather" w:hAnsi="Merriweather" w:cs="Times New Roman"/>
                <w:b/>
                <w:sz w:val="16"/>
                <w:szCs w:val="16"/>
              </w:rPr>
              <w:t>predmetne studente</w:t>
            </w:r>
          </w:p>
          <w:p w14:paraId="53AD636E" w14:textId="303FD759" w:rsidR="00F64C9C" w:rsidRPr="0017531F" w:rsidRDefault="00F64C9C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>
              <w:rPr>
                <w:rFonts w:ascii="Merriweather" w:hAnsi="Merriweather" w:cs="Times New Roman"/>
                <w:b/>
                <w:sz w:val="16"/>
                <w:szCs w:val="16"/>
              </w:rPr>
              <w:t>(Napomena: Ukoliko student/ica želi zamijeniti neko djelo ili autora drugim, koji ovdje nije na popisu, mora na vrijeme obavijestiti nositeljicu kolegija.)</w:t>
            </w:r>
          </w:p>
        </w:tc>
        <w:tc>
          <w:tcPr>
            <w:tcW w:w="7486" w:type="dxa"/>
            <w:gridSpan w:val="33"/>
            <w:vAlign w:val="center"/>
          </w:tcPr>
          <w:p w14:paraId="2FC6663C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Lektira u prvom dijelu popisa (do crte) ulazi u prvi kolokvij, a u drugom dijelu u drugi.</w:t>
            </w:r>
          </w:p>
          <w:p w14:paraId="4291983D" w14:textId="1BC5984D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Poezija Stanka Vraza.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(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Izabrati i u dnevniku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itanja obraditi 5 pjesama iz bilo koje edicije sabranih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djela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U izbor uklju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iti 1 pjesmu iz Đulabija, 1 sonet, 1 gazelu, 1 baladu, 1 romancu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.)</w:t>
            </w:r>
          </w:p>
          <w:p w14:paraId="668A22F7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(http://kgzdzb.arhivpro.hr/?kdoc=11017847 i ostali tiskani izvori)</w:t>
            </w:r>
          </w:p>
          <w:p w14:paraId="5C6C5085" w14:textId="6BCF4CCE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Poezija Petra Preradovića. Izabrati i u dnevniku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itanja obraditi 5 pjesama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Uz to: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Prvi ljudi, Zmija, Mujezin</w:t>
            </w:r>
          </w:p>
          <w:p w14:paraId="4259E2A5" w14:textId="73B2053E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Poezija Ane Vidović </w:t>
            </w:r>
            <w:r w:rsidR="007D2273">
              <w:rPr>
                <w:rFonts w:ascii="Merriweather" w:eastAsia="MS Gothic" w:hAnsi="Merriweather" w:cs="Times New Roman"/>
                <w:sz w:val="16"/>
                <w:szCs w:val="16"/>
                <w:u w:val="single"/>
              </w:rPr>
              <w:t>i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Dragojle Jarnević (izabrati po jednu pjesmu)</w:t>
            </w:r>
          </w:p>
          <w:p w14:paraId="0D58B61A" w14:textId="57B57BA0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Ivan 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uranić, Smrt Smail-age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engića</w:t>
            </w:r>
          </w:p>
          <w:p w14:paraId="1F4EB4FA" w14:textId="0C59791B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Pro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itati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  <w:u w:val="single"/>
              </w:rPr>
              <w:t>jedan od navedenih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preporodnih putopisa:</w:t>
            </w:r>
          </w:p>
          <w:p w14:paraId="6A9BA703" w14:textId="08B2FDB1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Stanko Vraz, Put u gornje strane u: Dubravko Horvatić, Hrvatski putopis, K. Krešimir,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Zagreb,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2002.</w:t>
            </w:r>
          </w:p>
          <w:p w14:paraId="225AB9C7" w14:textId="249D07A1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Matija Ma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uranić, Pogled u Bosnu, (u: Izabrana djela, Pet stoljeća hrvatske knjiţevnosti, knj. 32.,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Zg, 1965.)</w:t>
            </w:r>
          </w:p>
          <w:p w14:paraId="0D95D200" w14:textId="560F1341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Antun Nem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ić, Putositnice, (u: Izabrana djela, Pet stoljeća hrvatske knjiţevnosti, knj. 34., Zg, 1965.)</w:t>
            </w:r>
          </w:p>
          <w:p w14:paraId="3EC1DB23" w14:textId="77777777" w:rsidR="007D2273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Dimitrija Demeter, Teuta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="007D2273">
              <w:rPr>
                <w:rFonts w:ascii="Merriweather" w:eastAsia="MS Gothic" w:hAnsi="Merriweather" w:cs="Times New Roman"/>
                <w:sz w:val="16"/>
                <w:szCs w:val="16"/>
              </w:rPr>
              <w:t>i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Grobni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ko polje</w:t>
            </w:r>
          </w:p>
          <w:p w14:paraId="423D1D49" w14:textId="77777777" w:rsidR="007D2273" w:rsidRDefault="007D2273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7A60126" w14:textId="55A469A6" w:rsidR="00356375" w:rsidRPr="00356375" w:rsidRDefault="007D2273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Pročitati novel</w:t>
            </w:r>
            <w:r w:rsidR="00F64C9C">
              <w:rPr>
                <w:rFonts w:ascii="Merriweather" w:eastAsia="MS Gothic" w:hAnsi="Merriweather" w:cs="Times New Roman"/>
                <w:sz w:val="16"/>
                <w:szCs w:val="16"/>
              </w:rPr>
              <w:t>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hrvatskih preporoditelja</w:t>
            </w:r>
            <w:r w:rsidR="00356375"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koje se spominju na prezentacijama.</w:t>
            </w:r>
          </w:p>
          <w:p w14:paraId="79988550" w14:textId="77777777" w:rsid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4686DCA8" w14:textId="3EE58799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Mirko Bogović, Šilo za ognjilo</w:t>
            </w:r>
          </w:p>
          <w:p w14:paraId="3ECBE84E" w14:textId="56B37FF8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Janko Jurković, Pavao </w:t>
            </w:r>
            <w:r w:rsidR="007D2273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uturić</w:t>
            </w:r>
          </w:p>
          <w:p w14:paraId="2F9BD8EB" w14:textId="755727B5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Adolfo Veber Tkal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ević, Nadala Bakarka (ili Zagrepkinja)</w:t>
            </w:r>
          </w:p>
          <w:p w14:paraId="08DD8E62" w14:textId="3F412C54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Ivan Perkovac, Stankova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ka u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iteljica</w:t>
            </w:r>
          </w:p>
          <w:p w14:paraId="36AC055E" w14:textId="2D9CFEA8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Dragojla Jarnević: Dnevnik (izbor iz edicije Stoljeća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evnosti, pro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itati jedno</w:t>
            </w:r>
          </w:p>
          <w:p w14:paraId="0056B0BB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poglavlje)</w:t>
            </w:r>
          </w:p>
          <w:p w14:paraId="18C6B7A6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Luka Botić: Bijedna Mara</w:t>
            </w:r>
          </w:p>
          <w:p w14:paraId="72CEF311" w14:textId="763011FE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August Šenoa, Zlatarovo zlato ILI Selja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ka buna</w:t>
            </w:r>
            <w:r w:rsidR="007D227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Prosjak Luka, Branka, Prijan Lovro, Vladimir</w:t>
            </w:r>
          </w:p>
          <w:p w14:paraId="084FCAFD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Povjestice (izabrati jednu: Kugina kuća, Postolar i vrag)</w:t>
            </w:r>
          </w:p>
          <w:p w14:paraId="782B1077" w14:textId="764AE008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______________________________________________________</w:t>
            </w:r>
          </w:p>
          <w:p w14:paraId="2723AD27" w14:textId="579C653D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Eugen Kumi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ić, Olga i Lina (ili Gospo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đ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a Sabina)</w:t>
            </w:r>
          </w:p>
          <w:p w14:paraId="591FBE81" w14:textId="2D2F232D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Kranj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ević, Silvije Strahimir, Poezija, iz Izabranih djela, Stoljeća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evnosti, Zagreb,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1996. </w:t>
            </w:r>
          </w:p>
          <w:p w14:paraId="31DC4770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Josip Eugen Tomić, Melita</w:t>
            </w:r>
          </w:p>
          <w:p w14:paraId="6AAD4EBB" w14:textId="43A626C0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K. Š. Gjalski, Janko Borislavić</w:t>
            </w:r>
            <w:r w:rsidR="007D2273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Radmilović, U noći</w:t>
            </w:r>
            <w:r w:rsidR="00F64C9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San doktora Mišića</w:t>
            </w:r>
          </w:p>
          <w:p w14:paraId="15B23ADF" w14:textId="521E89A9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Ante Kova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ić, U registraturi</w:t>
            </w:r>
            <w:r w:rsidR="007D2273">
              <w:rPr>
                <w:rFonts w:ascii="Merriweather" w:eastAsia="MS Gothic" w:hAnsi="Merriweather" w:cs="Times New Roman"/>
                <w:sz w:val="16"/>
                <w:szCs w:val="16"/>
              </w:rPr>
              <w:t>, Smrt babe Čengićkinje, Fiškal, Ladanjska katastrofa</w:t>
            </w:r>
          </w:p>
          <w:p w14:paraId="718935CE" w14:textId="51081224" w:rsidR="00356375" w:rsidRPr="00356375" w:rsidRDefault="00832B48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Pjesme</w:t>
            </w:r>
            <w:r w:rsidR="00356375" w:rsidRPr="00356375">
              <w:rPr>
                <w:rFonts w:ascii="Merriweather" w:eastAsia="MS Gothic" w:hAnsi="Merriweather" w:cs="Times New Roman"/>
                <w:sz w:val="16"/>
                <w:szCs w:val="16"/>
              </w:rPr>
              <w:t>: Pokornom kljusetu, Kameleonu, Velikom patuljku</w:t>
            </w:r>
          </w:p>
          <w:p w14:paraId="37E213E7" w14:textId="5D1A600C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Josip Kozarac, Tena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, Oprava (ILI Mira Kodolićeva)</w:t>
            </w:r>
          </w:p>
          <w:p w14:paraId="77224654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Rikard Flieder Jorgovanić, Ljubav na odru i jednu pjesmu (Izabrana djela, Stoljeća hrvatske</w:t>
            </w:r>
          </w:p>
          <w:p w14:paraId="78F0F44E" w14:textId="27F418A5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evnosti)</w:t>
            </w:r>
          </w:p>
          <w:p w14:paraId="4ED954D6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Jagoda Truhelka, Plein air</w:t>
            </w:r>
          </w:p>
          <w:p w14:paraId="0298835E" w14:textId="0558C7FB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Janko Leskovar, Misao na vje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nost</w:t>
            </w:r>
          </w:p>
          <w:p w14:paraId="2FF456A9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A. G. Matoš, Moć savjesti</w:t>
            </w:r>
          </w:p>
          <w:p w14:paraId="4BAD5D00" w14:textId="56BDA654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Vjenceslav Novak, Posljednji Stipan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ići</w:t>
            </w:r>
            <w:r w:rsidR="007D2273">
              <w:rPr>
                <w:rFonts w:ascii="Merriweather" w:eastAsia="MS Gothic" w:hAnsi="Merriweather" w:cs="Times New Roman"/>
                <w:sz w:val="16"/>
                <w:szCs w:val="16"/>
              </w:rPr>
              <w:t>, Dva svijeta</w:t>
            </w:r>
          </w:p>
          <w:p w14:paraId="54D59E0B" w14:textId="5FBDD3FA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Pripovijesti: U glib </w:t>
            </w:r>
            <w:r w:rsidR="00832B48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Iz velegradskog podzemlja</w:t>
            </w:r>
          </w:p>
          <w:p w14:paraId="221CEC0E" w14:textId="77777777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Ivo Vojnović, Ekvinocij</w:t>
            </w:r>
          </w:p>
          <w:p w14:paraId="4A98A9AE" w14:textId="7D470C55" w:rsidR="00356375" w:rsidRPr="00356375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Izbor iz hrvatske knji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evne kritike realizma (edicija Pet stoljeća hrvatske knjiţevnosti) –</w:t>
            </w:r>
          </w:p>
          <w:p w14:paraId="3DCC4888" w14:textId="5F3366AC" w:rsidR="00356375" w:rsidRPr="0017531F" w:rsidRDefault="00356375" w:rsidP="0035637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PRO</w:t>
            </w:r>
            <w:r w:rsidR="00045924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ITATI I OBRADITI DVA TEKSTA KNJI</w:t>
            </w:r>
            <w:r w:rsidR="00832B48">
              <w:rPr>
                <w:rFonts w:ascii="Merriweather" w:eastAsia="MS Gothic" w:hAnsi="Merriweather" w:cs="Times New Roman"/>
                <w:sz w:val="16"/>
                <w:szCs w:val="16"/>
              </w:rPr>
              <w:t>Ž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EVNIH KRITI</w:t>
            </w:r>
            <w:r w:rsidR="00045924">
              <w:rPr>
                <w:rFonts w:ascii="Merriweather" w:eastAsia="MS Gothic" w:hAnsi="Merriweather" w:cs="Times New Roman"/>
                <w:sz w:val="16"/>
                <w:szCs w:val="16"/>
              </w:rPr>
              <w:t>Č</w:t>
            </w:r>
            <w:r w:rsidRPr="00356375">
              <w:rPr>
                <w:rFonts w:ascii="Merriweather" w:eastAsia="MS Gothic" w:hAnsi="Merriweather" w:cs="Times New Roman"/>
                <w:sz w:val="16"/>
                <w:szCs w:val="16"/>
              </w:rPr>
              <w:t>ARA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19D40F3E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63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1E2D32AE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63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</w:t>
            </w:r>
            <w:r w:rsidR="00505881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i ili pismeni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2304BF41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563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61E6FABC" w:rsidR="00B71A57" w:rsidRPr="0017531F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6375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  <w:r w:rsidR="00356375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 xml:space="preserve"> 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0B53402C" w:rsidR="00FC2198" w:rsidRPr="0017531F" w:rsidRDefault="00A96F16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40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% kolokvij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i ili pismeni ispit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,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20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%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seminarski rad, 40% usmeni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ispit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5C435A5" w:rsidR="00FC2198" w:rsidRPr="0017531F" w:rsidRDefault="0035637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Manje od 50% 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145F2363" w:rsidR="00FC2198" w:rsidRPr="0017531F" w:rsidRDefault="0035637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50%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183AB7D9" w:rsidR="00FC2198" w:rsidRPr="0017531F" w:rsidRDefault="0035637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75%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30250E1C" w:rsidR="00FC2198" w:rsidRPr="0017531F" w:rsidRDefault="0035637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85%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4C6D8D32" w:rsidR="00FC2198" w:rsidRPr="0017531F" w:rsidRDefault="0035637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 xml:space="preserve">Svi oblici neetičnog ponašanja rezultirat će negativnom ocjenom u kolegiju bez mogućnosti nadoknade ili popravka. U slučaju težih povreda primjenjuje se </w:t>
            </w:r>
            <w:hyperlink r:id="rId10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F02E3" w14:textId="77777777" w:rsidR="00247577" w:rsidRDefault="00247577" w:rsidP="009947BA">
      <w:pPr>
        <w:spacing w:before="0" w:after="0"/>
      </w:pPr>
      <w:r>
        <w:separator/>
      </w:r>
    </w:p>
  </w:endnote>
  <w:endnote w:type="continuationSeparator" w:id="0">
    <w:p w14:paraId="127EA4D6" w14:textId="77777777" w:rsidR="00247577" w:rsidRDefault="00247577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DD8A6" w14:textId="77777777" w:rsidR="00247577" w:rsidRDefault="00247577" w:rsidP="009947BA">
      <w:pPr>
        <w:spacing w:before="0" w:after="0"/>
      </w:pPr>
      <w:r>
        <w:separator/>
      </w:r>
    </w:p>
  </w:footnote>
  <w:footnote w:type="continuationSeparator" w:id="0">
    <w:p w14:paraId="04719FF3" w14:textId="77777777" w:rsidR="00247577" w:rsidRDefault="00247577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15928"/>
    <w:rsid w:val="00045924"/>
    <w:rsid w:val="000C0578"/>
    <w:rsid w:val="0010332B"/>
    <w:rsid w:val="0011561E"/>
    <w:rsid w:val="001443A2"/>
    <w:rsid w:val="00150B32"/>
    <w:rsid w:val="00152E3F"/>
    <w:rsid w:val="0017531F"/>
    <w:rsid w:val="001908BD"/>
    <w:rsid w:val="00197510"/>
    <w:rsid w:val="001C7C51"/>
    <w:rsid w:val="00226462"/>
    <w:rsid w:val="0022722C"/>
    <w:rsid w:val="00247577"/>
    <w:rsid w:val="00264F24"/>
    <w:rsid w:val="0028545A"/>
    <w:rsid w:val="002E090D"/>
    <w:rsid w:val="002E1CE6"/>
    <w:rsid w:val="002F2D22"/>
    <w:rsid w:val="00310F9A"/>
    <w:rsid w:val="00326091"/>
    <w:rsid w:val="00356375"/>
    <w:rsid w:val="00357643"/>
    <w:rsid w:val="00371634"/>
    <w:rsid w:val="00386E9C"/>
    <w:rsid w:val="00391C47"/>
    <w:rsid w:val="00393964"/>
    <w:rsid w:val="003D7529"/>
    <w:rsid w:val="003F11B6"/>
    <w:rsid w:val="003F17B8"/>
    <w:rsid w:val="003F61EA"/>
    <w:rsid w:val="00453362"/>
    <w:rsid w:val="00461219"/>
    <w:rsid w:val="00470F6D"/>
    <w:rsid w:val="00483BC3"/>
    <w:rsid w:val="004B1B3D"/>
    <w:rsid w:val="004B553E"/>
    <w:rsid w:val="00503544"/>
    <w:rsid w:val="00505881"/>
    <w:rsid w:val="00505CE2"/>
    <w:rsid w:val="00507C65"/>
    <w:rsid w:val="00527C5F"/>
    <w:rsid w:val="005353ED"/>
    <w:rsid w:val="005514C3"/>
    <w:rsid w:val="005E1668"/>
    <w:rsid w:val="005E5F80"/>
    <w:rsid w:val="005F6E0B"/>
    <w:rsid w:val="0062328F"/>
    <w:rsid w:val="006473B5"/>
    <w:rsid w:val="0068463A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2273"/>
    <w:rsid w:val="007D4D2D"/>
    <w:rsid w:val="00832B48"/>
    <w:rsid w:val="00845B01"/>
    <w:rsid w:val="00847D00"/>
    <w:rsid w:val="00865776"/>
    <w:rsid w:val="00874D5D"/>
    <w:rsid w:val="00891C60"/>
    <w:rsid w:val="008942F0"/>
    <w:rsid w:val="008D45DB"/>
    <w:rsid w:val="008D76C6"/>
    <w:rsid w:val="0090214F"/>
    <w:rsid w:val="009163E6"/>
    <w:rsid w:val="009760E8"/>
    <w:rsid w:val="009947BA"/>
    <w:rsid w:val="00997F41"/>
    <w:rsid w:val="009A3A9D"/>
    <w:rsid w:val="009C56B1"/>
    <w:rsid w:val="009D5226"/>
    <w:rsid w:val="009E2FD4"/>
    <w:rsid w:val="00A06750"/>
    <w:rsid w:val="00A9132B"/>
    <w:rsid w:val="00A96A11"/>
    <w:rsid w:val="00A96F16"/>
    <w:rsid w:val="00AA1A5A"/>
    <w:rsid w:val="00AA50A4"/>
    <w:rsid w:val="00AA5DF2"/>
    <w:rsid w:val="00AB1CD5"/>
    <w:rsid w:val="00AD23FB"/>
    <w:rsid w:val="00B113C2"/>
    <w:rsid w:val="00B3733E"/>
    <w:rsid w:val="00B71A57"/>
    <w:rsid w:val="00B7307A"/>
    <w:rsid w:val="00C02454"/>
    <w:rsid w:val="00C3477B"/>
    <w:rsid w:val="00C71AB2"/>
    <w:rsid w:val="00C85956"/>
    <w:rsid w:val="00C9733D"/>
    <w:rsid w:val="00CA361E"/>
    <w:rsid w:val="00CA3783"/>
    <w:rsid w:val="00CB23F4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30E67"/>
    <w:rsid w:val="00E5097B"/>
    <w:rsid w:val="00EA0593"/>
    <w:rsid w:val="00EB5A72"/>
    <w:rsid w:val="00F02A8F"/>
    <w:rsid w:val="00F22855"/>
    <w:rsid w:val="00F513E0"/>
    <w:rsid w:val="00F566DA"/>
    <w:rsid w:val="00F64C9C"/>
    <w:rsid w:val="00F82834"/>
    <w:rsid w:val="00F84F5E"/>
    <w:rsid w:val="00FC2198"/>
    <w:rsid w:val="00FC283E"/>
    <w:rsid w:val="00FE383F"/>
    <w:rsid w:val="00FF1020"/>
    <w:rsid w:val="00FF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2816</Words>
  <Characters>16053</Characters>
  <Application>Microsoft Office Word</Application>
  <DocSecurity>0</DocSecurity>
  <Lines>133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Ivana Petešić Šušak</cp:lastModifiedBy>
  <cp:revision>2</cp:revision>
  <cp:lastPrinted>2021-02-12T11:27:00Z</cp:lastPrinted>
  <dcterms:created xsi:type="dcterms:W3CDTF">2025-09-23T09:29:00Z</dcterms:created>
  <dcterms:modified xsi:type="dcterms:W3CDTF">2025-09-23T09:29:00Z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