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C5D2F" w14:textId="77777777" w:rsidR="00F9209C" w:rsidRPr="00F9209C" w:rsidRDefault="00F9209C" w:rsidP="00F9209C">
      <w:pPr>
        <w:spacing w:after="100" w:afterAutospacing="1" w:line="240" w:lineRule="auto"/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Projekt financira Sveučilište u Zadru (institucionalni projekt broj IP.01.2021.22)</w:t>
      </w:r>
    </w:p>
    <w:p w14:paraId="7D5FA6DE" w14:textId="77777777" w:rsidR="00F9209C" w:rsidRPr="00F9209C" w:rsidRDefault="00F9209C" w:rsidP="00F9209C">
      <w:pPr>
        <w:spacing w:after="100" w:afterAutospacing="1" w:line="240" w:lineRule="auto"/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Jezična, pismovna i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kodikološka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analiza fragmenata zbirke Ivana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Berčića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zadarske provenijencije u virtualnom istraživačkom okruženju</w:t>
      </w:r>
    </w:p>
    <w:p w14:paraId="599187D6" w14:textId="77777777" w:rsidR="00F9209C" w:rsidRPr="00F9209C" w:rsidRDefault="00F9209C" w:rsidP="00F9209C">
      <w:pPr>
        <w:spacing w:after="100" w:afterAutospacing="1" w:line="240" w:lineRule="auto"/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Voditelj projekta: Izv. prof. dr. sc. Ivica Vigato (znanstveni savjetnik)</w:t>
      </w:r>
    </w:p>
    <w:p w14:paraId="3F14F9E1" w14:textId="77777777" w:rsidR="00F9209C" w:rsidRPr="00F9209C" w:rsidRDefault="00F9209C" w:rsidP="00F9209C">
      <w:pPr>
        <w:spacing w:after="100" w:afterAutospacing="1" w:line="240" w:lineRule="auto"/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Opis projekta:</w:t>
      </w:r>
    </w:p>
    <w:p w14:paraId="22C2FE1D" w14:textId="77777777" w:rsidR="00F9209C" w:rsidRPr="00F9209C" w:rsidRDefault="00F9209C" w:rsidP="00F9209C">
      <w:pPr>
        <w:spacing w:after="100" w:afterAutospacing="1" w:line="240" w:lineRule="auto"/>
        <w:jc w:val="both"/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Zbirka fragmenata Ivana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Berčića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pohranjena je u Ruskoj nacionalnoj knjižnici u Sankt-Peterburgu i najveća je zbirka glagoljskih spomenika izvan Hrvatske. Prikupljao ju je don Ivan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Berčić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(1824. – 1870.), zadarski svećenik, glagoljaš. Zbirka se sastoji se od pet cjelovitih kodeksa iz 15. i 16. stoljeća, 154 fragmenta i 53 teksta pisana kurzivnom glagoljicom, a najveći dio zbirke čine glagoljski fragmenti. Riječ je o 154 fragmenta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hrvatskoglagoljskih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kodeksa, što tu zbirku čini najvećom zbirkom glagoljskih fragmenata uopće. Glavninu fragmenata čine fragmenti zadarske provenijencije. Nakon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Berčićeve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prerane smrti zbirka je nizom raznih okolnosti bila prodana Ruskoj nacionalnoj knjižnici.</w:t>
      </w:r>
    </w:p>
    <w:p w14:paraId="2D9B5C0E" w14:textId="77777777" w:rsidR="00F9209C" w:rsidRPr="00F9209C" w:rsidRDefault="00F9209C" w:rsidP="00F9209C">
      <w:pPr>
        <w:spacing w:after="100" w:afterAutospacing="1" w:line="240" w:lineRule="auto"/>
        <w:jc w:val="both"/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Korpus koji će biti istražen u ovom projektu sastoji se od fragmenata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Berčićeve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zbirke koji su zadarske provenijencije, i to 84 fragmenta brevijara, misala, zbornika i ostalih tekstova. Analiza jezika i pisma za projekt odabranih fragmenata, ali i njihovih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kodikoloških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osobitosti, značajno će pridonijeti spoznajama o povijesti hrvatskog jezika i pisma, osobito jezika i pisma korištenog na zadarskom području, ali i općenito potpunijem razumijevanju i vrednovanju društveno-povijesnih i kulturoloških osobitosti života na zadarskom području u razdoblju iz kojih dolaze fragmenti, bilo da je riječ o načinu na koji su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hrvatskoglagoljski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rukopisi bili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kodikološki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priređeni, o razdoblju kada su pisani ili pak o okolnostima njihova čuvanja, odnosno razdoblju njihova pronalaska i korištenja. Nakon svih do sada učinjenih poslova oko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Berčićeve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zbirke, preostaje transliteracija fragmenata te detaljna jezična, pismovna i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kodikološka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analiza fragmenata zadarske provenijencije čiji je cilj uočiti i opisati jezična i pismovna obilježja tih fragmenata kako bi se na temelju tako dobivenih spoznaja nadopunila saznanja o osobitostima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hrvatskoglagoljske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pismenosti zadarskog područja, uključujući spoznaje o glagoljskim pisarima, pisarskim školama i osobitostima jezika i pisma. Nadalje, očekuje se da će se na temelju spoznaja dobivenih ovim projektom moći utvrditi ili pak opovrgnuti zadarska provenijencija onih fragmenata za koje je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Berčić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utvrdio da pripadaju zadarskom području, izraditi detaljan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kodikološki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opis fragmenata glagoljskih rukopisa zadarske provenijencije i uspostaviti rad na glosaru zadarskoga glagoljaštva. Važnu odrednicu projekta predstavljaju i aktivnosti vezane uz izgradnju strukturirane baze podataka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hrvatskoglagoljskih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 xml:space="preserve"> fragmenata te virtualnoga istraživačkog okruženja u svrhu stvaranja pretpostavki i platforme za suradničko istraživanje hrvatskoga glagoljaštva u virtualno dijeljenom istraživačkom prostoru koji uz platformu za suradnju omogućuje ili razvija i digitalne alate te omogućuje suradnicima edukaciju i alate potrebne za primjenu istraživačkih metoda kakve se razvijaju u području suvremene discipline digitalne </w:t>
      </w:r>
      <w:proofErr w:type="spellStart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humanistike</w:t>
      </w:r>
      <w:proofErr w:type="spellEnd"/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.</w:t>
      </w:r>
    </w:p>
    <w:p w14:paraId="3C273D6F" w14:textId="77777777" w:rsidR="00F9209C" w:rsidRDefault="00F9209C" w:rsidP="00F9209C">
      <w:pPr>
        <w:spacing w:after="100" w:afterAutospacing="1" w:line="240" w:lineRule="auto"/>
        <w:jc w:val="both"/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t> </w:t>
      </w:r>
    </w:p>
    <w:p w14:paraId="3027B05E" w14:textId="77777777" w:rsidR="00DB3EA4" w:rsidRDefault="00DB3EA4" w:rsidP="00F9209C">
      <w:pPr>
        <w:spacing w:after="100" w:afterAutospacing="1" w:line="240" w:lineRule="auto"/>
        <w:jc w:val="both"/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</w:p>
    <w:p w14:paraId="27EE8C49" w14:textId="77777777" w:rsidR="00DB3EA4" w:rsidRDefault="00DB3EA4">
      <w:pPr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  <w:r>
        <w:rPr>
          <w:rFonts w:ascii="MerriweatherSans" w:eastAsia="Times New Roman" w:hAnsi="MerriweatherSans" w:cs="Times New Roman"/>
          <w:sz w:val="24"/>
          <w:szCs w:val="24"/>
          <w:lang w:eastAsia="hr-HR"/>
        </w:rPr>
        <w:br w:type="page"/>
      </w:r>
    </w:p>
    <w:p w14:paraId="28A4C8D6" w14:textId="77777777" w:rsidR="00DB3EA4" w:rsidRDefault="00DB3EA4" w:rsidP="00F9209C">
      <w:pPr>
        <w:spacing w:after="100" w:afterAutospacing="1" w:line="240" w:lineRule="auto"/>
        <w:rPr>
          <w:rFonts w:ascii="MerriweatherSans" w:eastAsia="Times New Roman" w:hAnsi="MerriweatherSans" w:cs="Times New Roman"/>
          <w:sz w:val="24"/>
          <w:szCs w:val="24"/>
          <w:lang w:eastAsia="hr-HR"/>
        </w:rPr>
        <w:sectPr w:rsidR="00DB3EA4" w:rsidSect="00DB3EA4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486C9594" w14:textId="5FCBCDD8" w:rsidR="00F9209C" w:rsidRPr="00F9209C" w:rsidRDefault="00F9209C" w:rsidP="00F9209C">
      <w:pPr>
        <w:spacing w:after="100" w:afterAutospacing="1" w:line="240" w:lineRule="auto"/>
        <w:rPr>
          <w:rFonts w:ascii="MerriweatherSans" w:eastAsia="Times New Roman" w:hAnsi="MerriweatherSans" w:cs="Times New Roman"/>
          <w:sz w:val="24"/>
          <w:szCs w:val="24"/>
          <w:lang w:eastAsia="hr-HR"/>
        </w:rPr>
      </w:pPr>
      <w:r w:rsidRPr="00F9209C">
        <w:rPr>
          <w:rFonts w:ascii="MerriweatherSans" w:eastAsia="Times New Roman" w:hAnsi="MerriweatherSans" w:cs="Times New Roman"/>
          <w:sz w:val="24"/>
          <w:szCs w:val="24"/>
          <w:lang w:eastAsia="hr-HR"/>
        </w:rPr>
        <w:lastRenderedPageBreak/>
        <w:t>Suradnici na projektu</w:t>
      </w:r>
    </w:p>
    <w:tbl>
      <w:tblPr>
        <w:tblW w:w="120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856"/>
        <w:gridCol w:w="1247"/>
        <w:gridCol w:w="3686"/>
        <w:gridCol w:w="1983"/>
      </w:tblGrid>
      <w:tr w:rsidR="00F9209C" w:rsidRPr="001524F0" w14:paraId="4A972938" w14:textId="77777777" w:rsidTr="001524F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328D5" w14:textId="77777777" w:rsidR="00F9209C" w:rsidRPr="001524F0" w:rsidRDefault="00F9209C" w:rsidP="00BF4FC9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b/>
                <w:bCs/>
                <w:color w:val="222222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323397" w14:textId="64020218" w:rsidR="00F9209C" w:rsidRPr="001524F0" w:rsidRDefault="001524F0" w:rsidP="00BF4FC9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color w:val="222222"/>
                <w:sz w:val="18"/>
                <w:szCs w:val="18"/>
                <w:lang w:eastAsia="hr-HR"/>
              </w:rPr>
              <w:t>Zvanje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F21B40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b/>
                <w:bCs/>
                <w:color w:val="222222"/>
                <w:sz w:val="18"/>
                <w:szCs w:val="18"/>
                <w:lang w:eastAsia="hr-HR"/>
              </w:rPr>
              <w:t>Matični broj istraživača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0C0F3C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b/>
                <w:bCs/>
                <w:color w:val="222222"/>
                <w:sz w:val="18"/>
                <w:szCs w:val="18"/>
                <w:lang w:eastAsia="hr-HR"/>
              </w:rPr>
              <w:t>Ustanova/odjel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B15859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b/>
                <w:bCs/>
                <w:color w:val="222222"/>
                <w:sz w:val="18"/>
                <w:szCs w:val="18"/>
                <w:lang w:eastAsia="hr-HR"/>
              </w:rPr>
              <w:t>Država</w:t>
            </w:r>
          </w:p>
        </w:tc>
        <w:bookmarkStart w:id="0" w:name="_GoBack"/>
        <w:bookmarkEnd w:id="0"/>
      </w:tr>
      <w:tr w:rsidR="00F9209C" w:rsidRPr="001524F0" w14:paraId="0160B96B" w14:textId="77777777" w:rsidTr="001524F0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52FD9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Ivica Vigato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F3C74C" w14:textId="6C5BC8A7" w:rsidR="00F9209C" w:rsidRPr="001524F0" w:rsidRDefault="00F9209C" w:rsidP="00DB3EA4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izv. prof. dr. sc.</w:t>
            </w:r>
            <w:r w:rsid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 xml:space="preserve"> </w:t>
            </w: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(znanstveni savjetnik)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3195C8" w14:textId="77777777" w:rsidR="00F9209C" w:rsidRPr="001524F0" w:rsidRDefault="00F9209C" w:rsidP="001524F0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289775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D38A32" w14:textId="3CF33952" w:rsidR="001524F0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Centar za istraživanje glagoljaštva</w:t>
            </w:r>
            <w:r w:rsid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,</w:t>
            </w:r>
          </w:p>
          <w:p w14:paraId="6F3836B4" w14:textId="6669A9CE" w:rsidR="00F9209C" w:rsidRPr="001524F0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Odjel za izobrazbu učitelja i odgojitelja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9781F0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Hrvatska</w:t>
            </w:r>
          </w:p>
        </w:tc>
      </w:tr>
      <w:tr w:rsidR="00F9209C" w:rsidRPr="001524F0" w14:paraId="03C3AF7D" w14:textId="77777777" w:rsidTr="001524F0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6008E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Kristijan Juran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403AC1" w14:textId="77777777" w:rsidR="00F9209C" w:rsidRPr="001524F0" w:rsidRDefault="00F9209C" w:rsidP="00DB3EA4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izv. prof. dr. sc.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1AC42C" w14:textId="77777777" w:rsidR="00F9209C" w:rsidRPr="001524F0" w:rsidRDefault="00F9209C" w:rsidP="001524F0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271095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C7198E" w14:textId="4E1BAD31" w:rsidR="001524F0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Centar za istraživanje glagoljaštva</w:t>
            </w:r>
            <w:r w:rsid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,</w:t>
            </w:r>
          </w:p>
          <w:p w14:paraId="74C60C50" w14:textId="022C318F" w:rsidR="00F9209C" w:rsidRPr="001524F0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Odjel za povijest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D35DD5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Hrvatska</w:t>
            </w:r>
          </w:p>
        </w:tc>
      </w:tr>
      <w:tr w:rsidR="00F9209C" w:rsidRPr="001524F0" w14:paraId="4022CA29" w14:textId="77777777" w:rsidTr="001524F0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012AC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Marijana Tomić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49162C" w14:textId="77777777" w:rsidR="00F9209C" w:rsidRPr="001524F0" w:rsidRDefault="00F9209C" w:rsidP="00DB3EA4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izv. prof. dr. sc.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E4469D" w14:textId="77777777" w:rsidR="00F9209C" w:rsidRPr="001524F0" w:rsidRDefault="00F9209C" w:rsidP="001524F0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297041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D00732" w14:textId="343755D2" w:rsidR="001524F0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Centar za istraživanje glagoljaštva</w:t>
            </w:r>
            <w:r w:rsid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,</w:t>
            </w:r>
          </w:p>
          <w:p w14:paraId="6FE4A0AD" w14:textId="45B0CD33" w:rsidR="00F9209C" w:rsidRPr="001524F0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Odjel za informacijske znanosti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F4F333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Hrvatska</w:t>
            </w:r>
          </w:p>
        </w:tc>
      </w:tr>
      <w:tr w:rsidR="00F9209C" w:rsidRPr="001524F0" w14:paraId="669AB84F" w14:textId="77777777" w:rsidTr="001524F0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2708C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Josip Galić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9462AF" w14:textId="77777777" w:rsidR="00F9209C" w:rsidRPr="001524F0" w:rsidRDefault="00F9209C" w:rsidP="00DB3EA4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poslijedoktorand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9A936A" w14:textId="77777777" w:rsidR="00F9209C" w:rsidRPr="001524F0" w:rsidRDefault="00F9209C" w:rsidP="001524F0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345356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161A0E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Staroslavenski institut, Zagreb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F26F0A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Hrvatska</w:t>
            </w:r>
          </w:p>
        </w:tc>
      </w:tr>
      <w:tr w:rsidR="00F9209C" w:rsidRPr="001524F0" w14:paraId="7106642E" w14:textId="77777777" w:rsidTr="001524F0">
        <w:trPr>
          <w:trHeight w:val="43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D9B32" w14:textId="6F1E8F71" w:rsidR="00F9209C" w:rsidRPr="001524F0" w:rsidRDefault="001524F0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 xml:space="preserve">Ivana </w:t>
            </w:r>
            <w:proofErr w:type="spellStart"/>
            <w:r w:rsidR="00F9209C"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Petešić</w:t>
            </w:r>
            <w:proofErr w:type="spellEnd"/>
            <w:r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 xml:space="preserve"> </w:t>
            </w:r>
            <w:r w:rsidR="00F9209C"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Šušak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57A79B" w14:textId="77777777" w:rsidR="00F9209C" w:rsidRPr="001524F0" w:rsidRDefault="00F9209C" w:rsidP="00DB3EA4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poslijedoktorandica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C5A201" w14:textId="77777777" w:rsidR="00F9209C" w:rsidRPr="001524F0" w:rsidRDefault="00F9209C" w:rsidP="001524F0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341203 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E42C76" w14:textId="42525878" w:rsidR="001524F0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Centar za istraživanje glagoljaštva</w:t>
            </w:r>
            <w:r w:rsid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,</w:t>
            </w:r>
          </w:p>
          <w:p w14:paraId="1391C83F" w14:textId="518A762B" w:rsidR="00F9209C" w:rsidRPr="001524F0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Odjel za kroatistik</w:t>
            </w:r>
            <w:r w:rsidR="001524F0"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BBC877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Hrvatska</w:t>
            </w:r>
          </w:p>
        </w:tc>
      </w:tr>
      <w:tr w:rsidR="00F9209C" w:rsidRPr="001524F0" w14:paraId="1A5A5B68" w14:textId="77777777" w:rsidTr="001524F0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E2895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Laura Grzunov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A796F2" w14:textId="77777777" w:rsidR="00F9209C" w:rsidRPr="001524F0" w:rsidRDefault="00F9209C" w:rsidP="00DB3EA4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doktorandica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56B24E" w14:textId="77777777" w:rsidR="00F9209C" w:rsidRPr="001524F0" w:rsidRDefault="00F9209C" w:rsidP="001524F0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Merriweather" w:eastAsia="Times New Roman" w:hAnsi="Merriweather" w:cs="Times New Roman"/>
                <w:b/>
                <w:bCs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i/>
                <w:iCs/>
                <w:color w:val="222222"/>
                <w:sz w:val="18"/>
                <w:szCs w:val="18"/>
                <w:lang w:eastAsia="hr-HR"/>
              </w:rPr>
              <w:t>381064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0345DD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Odjel za informacijske znanosti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9BD57F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Hrvatska</w:t>
            </w:r>
          </w:p>
        </w:tc>
      </w:tr>
      <w:tr w:rsidR="00F9209C" w:rsidRPr="001524F0" w14:paraId="6FD81124" w14:textId="77777777" w:rsidTr="001524F0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15856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Ivana Eterović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568D84" w14:textId="77777777" w:rsidR="00F9209C" w:rsidRPr="001524F0" w:rsidRDefault="00F9209C" w:rsidP="00DB3EA4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docentica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7FFC95" w14:textId="77777777" w:rsidR="00F9209C" w:rsidRPr="001524F0" w:rsidRDefault="00F9209C" w:rsidP="001524F0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309716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4681C4" w14:textId="3EDE592E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Filozofski fakultet Sveučilišta u Zagrebu</w:t>
            </w:r>
            <w:r w:rsid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 xml:space="preserve">, </w:t>
            </w: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 Odsjek za kroatistiku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D18AA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Hrvatska</w:t>
            </w:r>
          </w:p>
        </w:tc>
      </w:tr>
      <w:tr w:rsidR="00F9209C" w:rsidRPr="001524F0" w14:paraId="27D7E57D" w14:textId="77777777" w:rsidTr="001524F0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674AF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eastAsia="hr-HR"/>
              </w:rPr>
              <w:t>Andrey</w:t>
            </w:r>
            <w:proofErr w:type="spellEnd"/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eastAsia="hr-HR"/>
              </w:rPr>
              <w:t xml:space="preserve"> N. </w:t>
            </w:r>
            <w:proofErr w:type="spellStart"/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eastAsia="hr-HR"/>
              </w:rPr>
              <w:t>Sobolev</w:t>
            </w:r>
            <w:proofErr w:type="spellEnd"/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8738EA" w14:textId="77777777" w:rsidR="00F9209C" w:rsidRPr="001524F0" w:rsidRDefault="00F9209C" w:rsidP="00DB3EA4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znanstveni suradnik, izvanredni profesor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9F2C97" w14:textId="77777777" w:rsidR="00F9209C" w:rsidRPr="001524F0" w:rsidRDefault="00F9209C" w:rsidP="001524F0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7E96EA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Institut lingvističkih istraživanja Ruske akademije znanosti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7064CD" w14:textId="77777777" w:rsidR="00F9209C" w:rsidRPr="001524F0" w:rsidRDefault="00F9209C" w:rsidP="00DB3EA4">
            <w:pPr>
              <w:spacing w:after="100" w:afterAutospacing="1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Rusija</w:t>
            </w:r>
          </w:p>
        </w:tc>
      </w:tr>
      <w:tr w:rsidR="00F9209C" w:rsidRPr="001524F0" w14:paraId="7D0C53D0" w14:textId="77777777" w:rsidTr="001524F0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8BBE29" w14:textId="77777777" w:rsidR="00F9209C" w:rsidRPr="001524F0" w:rsidRDefault="00F9209C" w:rsidP="001524F0">
            <w:pPr>
              <w:spacing w:after="100" w:afterAutospacing="1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proofErr w:type="spellStart"/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eastAsia="hr-HR"/>
              </w:rPr>
              <w:t>Viacheslav</w:t>
            </w:r>
            <w:proofErr w:type="spellEnd"/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shd w:val="clear" w:color="auto" w:fill="FFFFFF"/>
                <w:lang w:eastAsia="hr-HR"/>
              </w:rPr>
              <w:t xml:space="preserve"> V. Kozak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0AE4E4" w14:textId="77777777" w:rsidR="00F9209C" w:rsidRPr="001524F0" w:rsidRDefault="00F9209C" w:rsidP="00DB3EA4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Doktorski kandidat iz znanstvenog područja jezikoslovlja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FBC8EF" w14:textId="77777777" w:rsidR="00F9209C" w:rsidRPr="001524F0" w:rsidRDefault="00F9209C" w:rsidP="001524F0">
            <w:pPr>
              <w:spacing w:after="100" w:afterAutospacing="1" w:line="240" w:lineRule="auto"/>
              <w:jc w:val="both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EAE1EB" w14:textId="77777777" w:rsidR="00DB3EA4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Institut lingvističkih istraživanja Ruske akademije znanosti,</w:t>
            </w:r>
            <w:r w:rsid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 xml:space="preserve"> </w:t>
            </w:r>
          </w:p>
          <w:p w14:paraId="0B5A0D1A" w14:textId="22E9DA20" w:rsidR="00F9209C" w:rsidRPr="001524F0" w:rsidRDefault="00F9209C" w:rsidP="00DB3EA4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  <w:r w:rsidRPr="001524F0"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  <w:t>Odjel za komparativno-povijesno proučavanje indoeuropskih jezika i arealna istraživanja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B5445D" w14:textId="77777777" w:rsidR="00F9209C" w:rsidRPr="001524F0" w:rsidRDefault="00F9209C" w:rsidP="00F9209C">
            <w:pPr>
              <w:spacing w:after="0" w:line="240" w:lineRule="auto"/>
              <w:rPr>
                <w:rFonts w:ascii="Merriweather" w:eastAsia="Times New Roman" w:hAnsi="Merriweather" w:cs="Times New Roman"/>
                <w:color w:val="222222"/>
                <w:sz w:val="18"/>
                <w:szCs w:val="18"/>
                <w:lang w:eastAsia="hr-HR"/>
              </w:rPr>
            </w:pPr>
          </w:p>
        </w:tc>
      </w:tr>
    </w:tbl>
    <w:p w14:paraId="558C28D8" w14:textId="77777777" w:rsidR="00810366" w:rsidRDefault="00810366"/>
    <w:sectPr w:rsidR="00810366" w:rsidSect="00DB3EA4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Sans">
    <w:altName w:val="Cambria"/>
    <w:panose1 w:val="00000000000000000000"/>
    <w:charset w:val="00"/>
    <w:family w:val="roman"/>
    <w:notTrueType/>
    <w:pitch w:val="default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9C"/>
    <w:rsid w:val="001524F0"/>
    <w:rsid w:val="00810366"/>
    <w:rsid w:val="00BF4FC9"/>
    <w:rsid w:val="00DB3EA4"/>
    <w:rsid w:val="00E1072A"/>
    <w:rsid w:val="00E82902"/>
    <w:rsid w:val="00F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E8E4"/>
  <w15:chartTrackingRefBased/>
  <w15:docId w15:val="{3BA84D5C-2D31-4A06-BC28-78C18B84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3B25-762B-4B2D-A285-3782293E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Vigato</dc:creator>
  <cp:keywords/>
  <dc:description/>
  <cp:lastModifiedBy>ematassi@unizd.hr</cp:lastModifiedBy>
  <cp:revision>4</cp:revision>
  <dcterms:created xsi:type="dcterms:W3CDTF">2021-11-22T12:05:00Z</dcterms:created>
  <dcterms:modified xsi:type="dcterms:W3CDTF">2021-11-22T13:00:00Z</dcterms:modified>
</cp:coreProperties>
</file>