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d w:val="-508374591"/>
        <w:docPartObj>
          <w:docPartGallery w:val="Cover Pages"/>
          <w:docPartUnique/>
        </w:docPartObj>
      </w:sdtPr>
      <w:sdtEndPr/>
      <w:sdtContent>
        <w:p w:rsidR="002346A9" w:rsidRPr="00902491" w:rsidRDefault="00902491" w:rsidP="00902491">
          <w:pP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</w:pPr>
          <w:r w:rsidRPr="00902491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550BB0F" wp14:editId="4525104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57150" t="0" r="40640" b="4191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33" y="1440"/>
                                <a:ext cx="8638" cy="21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D11B1" w:rsidRDefault="000D11B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63E2D">
                                    <w:rPr>
                                      <w:rFonts w:ascii="Calibri" w:eastAsia="Calibri" w:hAnsi="Calibri" w:cs="Times New Roman"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5D0E6FBF" wp14:editId="0DE1D931">
                                        <wp:extent cx="7468811" cy="1952625"/>
                                        <wp:effectExtent l="0" t="0" r="0" b="0"/>
                                        <wp:docPr id="2" name="Picture 2" descr="memo ucitelji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emo ucitelji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73466" cy="19538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Year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D11B1" w:rsidRDefault="000D11B1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sz w:val="96"/>
                                          <w:szCs w:val="96"/>
                                          <w:lang w:val="en-US"/>
                                          <w14:numForm w14:val="oldStyle"/>
                                        </w:rPr>
                                        <w:t>18.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0D11B1" w:rsidRDefault="000D11B1" w:rsidP="00902491">
                                  <w:pPr>
                                    <w:tabs>
                                      <w:tab w:val="left" w:pos="709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</w:pPr>
                                  <w:r w:rsidRPr="002346A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  <w:t xml:space="preserve">RAZVOJNA STRATEGIJA </w:t>
                                  </w:r>
                                </w:p>
                                <w:p w:rsidR="000D11B1" w:rsidRDefault="000D11B1" w:rsidP="00902491">
                                  <w:pPr>
                                    <w:tabs>
                                      <w:tab w:val="left" w:pos="709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</w:pPr>
                                  <w:r w:rsidRPr="002346A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  <w:t xml:space="preserve">ODJELA ZA IZOBRAZBU UČITELJA I ODGOJITELJA </w:t>
                                  </w:r>
                                </w:p>
                                <w:p w:rsidR="000D11B1" w:rsidRPr="002346A9" w:rsidRDefault="000D11B1" w:rsidP="00902491">
                                  <w:pPr>
                                    <w:tabs>
                                      <w:tab w:val="left" w:pos="709"/>
                                    </w:tabs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</w:pPr>
                                  <w:r w:rsidRPr="002346A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  <w:t xml:space="preserve">SVEUČILIŠTA U ZADRU </w:t>
                                  </w:r>
                                </w:p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  <w:lang w:eastAsia="hr-HR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D11B1" w:rsidRDefault="000D11B1" w:rsidP="00902491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5B9BD5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902491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36"/>
                                          <w:szCs w:val="36"/>
                                          <w:lang w:eastAsia="hr-HR"/>
                                        </w:rPr>
                                        <w:t>za razdoblje 2018. – 2023</w:t>
                                      </w:r>
                                    </w:p>
                                  </w:sdtContent>
                                </w:sdt>
                                <w:p w:rsidR="000D11B1" w:rsidRDefault="000D11B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D11B1" w:rsidRDefault="000D11B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4550BB0F" id="Group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" o:allowincell="f">
    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733;top:1440;width:8638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" filled="f" stroked="f">
                      <v:textbox>
                        <w:txbxContent>
                          <w:p w:rsidR="000D11B1" w:rsidRDefault="000D11B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63E2D">
                              <w:rPr>
                                <w:rFonts w:ascii="Calibri" w:eastAsia="Calibri" w:hAnsi="Calibri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D0E6FBF" wp14:editId="0DE1D931">
                                  <wp:extent cx="7468811" cy="1952625"/>
                                  <wp:effectExtent l="0" t="0" r="0" b="0"/>
                                  <wp:docPr id="2" name="Picture 2" descr="memo ucitel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emo ucitel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3466" cy="1953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Year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D11B1" w:rsidRDefault="000D11B1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</w:t>
                                </w:r>
                                <w:r>
                                  <w:rPr>
                                    <w:sz w:val="96"/>
                                    <w:szCs w:val="96"/>
                                    <w:lang w:val="en-US"/>
                                    <w14:numForm w14:val="oldStyle"/>
                                  </w:rPr>
                                  <w:t>18.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p w:rsidR="000D11B1" w:rsidRDefault="000D11B1" w:rsidP="00902491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</w:pPr>
                            <w:r w:rsidRPr="002346A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  <w:t xml:space="preserve">RAZVOJNA STRATEGIJA </w:t>
                            </w:r>
                          </w:p>
                          <w:p w:rsidR="000D11B1" w:rsidRDefault="000D11B1" w:rsidP="00902491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</w:pPr>
                            <w:r w:rsidRPr="002346A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  <w:t xml:space="preserve">ODJELA ZA IZOBRAZBU UČITELJA I ODGOJITELJA </w:t>
                            </w:r>
                          </w:p>
                          <w:p w:rsidR="000D11B1" w:rsidRPr="002346A9" w:rsidRDefault="000D11B1" w:rsidP="00902491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</w:pPr>
                            <w:r w:rsidRPr="002346A9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  <w:t xml:space="preserve">SVEUČILIŠTA U ZADRU </w:t>
                            </w:r>
                          </w:p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hr-HR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D11B1" w:rsidRDefault="000D11B1" w:rsidP="00902491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r w:rsidRPr="00902491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6"/>
                                    <w:szCs w:val="36"/>
                                    <w:lang w:eastAsia="hr-HR"/>
                                  </w:rPr>
                                  <w:t>za razdoblje 2018. – 2023</w:t>
                                </w:r>
                              </w:p>
                            </w:sdtContent>
                          </w:sdt>
                          <w:p w:rsidR="000D11B1" w:rsidRDefault="000D11B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D11B1" w:rsidRDefault="000D11B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br w:type="page"/>
          </w:r>
        </w:p>
      </w:sdtContent>
    </w:sdt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hr-HR" w:eastAsia="en-US"/>
        </w:rPr>
        <w:id w:val="-170979278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07143C" w:rsidRPr="005463D1" w:rsidRDefault="0007143C" w:rsidP="0007143C">
          <w:pPr>
            <w:pStyle w:val="TOCHeading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5463D1">
            <w:rPr>
              <w:rFonts w:ascii="Times New Roman" w:hAnsi="Times New Roman" w:cs="Times New Roman"/>
              <w:sz w:val="24"/>
              <w:szCs w:val="24"/>
            </w:rPr>
            <w:t>Sadržaj</w:t>
          </w:r>
          <w:proofErr w:type="spellEnd"/>
        </w:p>
        <w:p w:rsidR="0007143C" w:rsidRPr="005463D1" w:rsidRDefault="007C6394" w:rsidP="0007143C">
          <w:pPr>
            <w:pStyle w:val="ListParagraph"/>
            <w:numPr>
              <w:ilvl w:val="0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Info</w:t>
          </w:r>
          <w:r w:rsidR="0007143C" w:rsidRPr="005463D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rmacije o Odjelu </w:t>
          </w:r>
          <w:r w:rsidR="0007143C"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za izobrazbu učitelja i odgojitelja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Povijesni razvoj obrazovanja učitelja i odgojitelja u Zadru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Odjel za izobrazbu učitelja i odgojitelja danas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Ustroj i upravljanje Odjelom za izobrazbu učitelja i odgojitelja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Osiguravanje kvalitete na Odjelu za izobrazbu učitelja i odgojitelja</w:t>
          </w:r>
        </w:p>
        <w:p w:rsidR="0007143C" w:rsidRPr="005463D1" w:rsidRDefault="0007143C" w:rsidP="0007143C">
          <w:pPr>
            <w:pStyle w:val="ListParagraph"/>
            <w:numPr>
              <w:ilvl w:val="0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Misija i vizija djelovanja Odjela za izobrazbu učitelja i odgojitelja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Misija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Vizija</w:t>
          </w:r>
        </w:p>
        <w:p w:rsidR="0007143C" w:rsidRPr="005463D1" w:rsidRDefault="0007143C" w:rsidP="0007143C">
          <w:pPr>
            <w:pStyle w:val="ListParagraph"/>
            <w:numPr>
              <w:ilvl w:val="0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Polazišta za izradu Razvojne strategije Odjela za izobrazbu učitelja i odgojitelja</w:t>
          </w:r>
        </w:p>
        <w:p w:rsidR="0007143C" w:rsidRPr="005463D1" w:rsidRDefault="0007143C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SWOT analiza</w:t>
          </w:r>
        </w:p>
        <w:p w:rsidR="0007143C" w:rsidRPr="005463D1" w:rsidRDefault="007C6394" w:rsidP="0007143C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463D1">
            <w:rPr>
              <w:rFonts w:ascii="Times New Roman" w:hAnsi="Times New Roman" w:cs="Times New Roman"/>
              <w:b/>
              <w:sz w:val="24"/>
              <w:szCs w:val="24"/>
            </w:rPr>
            <w:t>Realizacija ciljeva Razvojne strategije za razdoblje 2011.- 2016.</w:t>
          </w:r>
        </w:p>
        <w:p w:rsidR="007C6394" w:rsidRPr="005463D1" w:rsidRDefault="005311D5" w:rsidP="005311D5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hAnsi="Times New Roman" w:cs="Times New Roman"/>
              <w:b/>
              <w:sz w:val="24"/>
              <w:szCs w:val="24"/>
            </w:rPr>
            <w:t>Analiza upisa na studijske programe koji se izvode na Odjelu</w:t>
          </w:r>
        </w:p>
        <w:p w:rsidR="007C6394" w:rsidRPr="005463D1" w:rsidRDefault="007C6394" w:rsidP="008E1E61">
          <w:pPr>
            <w:pStyle w:val="ListParagraph"/>
            <w:numPr>
              <w:ilvl w:val="1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hAnsi="Times New Roman" w:cs="Times New Roman"/>
              <w:b/>
              <w:sz w:val="24"/>
              <w:szCs w:val="24"/>
            </w:rPr>
            <w:t>Struktura i opterećenje nastavnika</w:t>
          </w:r>
        </w:p>
        <w:p w:rsidR="0007143C" w:rsidRPr="005463D1" w:rsidRDefault="0007143C" w:rsidP="0007143C">
          <w:pPr>
            <w:pStyle w:val="ListParagraph"/>
            <w:numPr>
              <w:ilvl w:val="0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Strateški ciljevi, pokazatelji i mjere</w:t>
          </w:r>
        </w:p>
        <w:p w:rsidR="0007143C" w:rsidRPr="005463D1" w:rsidRDefault="0007143C" w:rsidP="0007143C">
          <w:pPr>
            <w:pStyle w:val="ListParagraph"/>
            <w:numPr>
              <w:ilvl w:val="0"/>
              <w:numId w:val="11"/>
            </w:num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463D1"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t>Završne napomene</w:t>
          </w:r>
        </w:p>
      </w:sdtContent>
    </w:sdt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46A9" w:rsidRDefault="002346A9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1BE1" w:rsidRDefault="00D41BE1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394" w:rsidRDefault="007C6394" w:rsidP="007C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E61" w:rsidRDefault="008E1E61" w:rsidP="007C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E61" w:rsidRDefault="008E1E61" w:rsidP="007C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394" w:rsidRDefault="007C6394" w:rsidP="00902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394" w:rsidRDefault="007C6394" w:rsidP="007C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394" w:rsidRDefault="007C6394" w:rsidP="007C6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7C63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Informacije o Odjelu za izobrazbu učitelja i odgojitelja</w:t>
      </w:r>
    </w:p>
    <w:p w:rsidR="007C6394" w:rsidRDefault="007C6394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2B6" w:rsidRPr="003402B6" w:rsidRDefault="003402B6" w:rsidP="00340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>Odjel za izobrazbu učitelja i odgojitelja Sveučilišta u Zadru nastavlja dugu tradiciju suvremene izobrazbe učitelja i odgojitelja još od Pedagoške akademije 1961. godine.  Visoka učiteljska škola ulaskom pod okrilje Sveučilišta u Zadru, kao njegova punopravna članica, transformira se u Odjel za izobrazbu učitelja i odgojitelja. Već tada sa obrazovnim programima priznatim diljem Hrvatske, usmjerava se prema intenzivnoj znanstvenoj djelatnosti uz nadogradnju postojećih programa.</w:t>
      </w: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i/>
          <w:sz w:val="24"/>
          <w:szCs w:val="24"/>
        </w:rPr>
        <w:t>Strategija Odjela danas je usmjeravanje sveukupne djelatnosti Odjela prema visokim razinama nastavnih, znanstvenoistraživačkih i stručnih postignuća</w:t>
      </w:r>
      <w:r w:rsidRPr="003402B6">
        <w:rPr>
          <w:rFonts w:ascii="Times New Roman" w:hAnsi="Times New Roman" w:cs="Times New Roman"/>
          <w:sz w:val="24"/>
          <w:szCs w:val="24"/>
        </w:rPr>
        <w:t xml:space="preserve"> te stvaranje potrebnog </w:t>
      </w:r>
      <w:r w:rsidRPr="003402B6">
        <w:rPr>
          <w:rFonts w:ascii="Times New Roman" w:hAnsi="Times New Roman" w:cs="Times New Roman"/>
          <w:i/>
          <w:sz w:val="24"/>
          <w:szCs w:val="24"/>
        </w:rPr>
        <w:t>institucionalnog okvira</w:t>
      </w:r>
      <w:r w:rsidRPr="003402B6">
        <w:rPr>
          <w:rFonts w:ascii="Times New Roman" w:hAnsi="Times New Roman" w:cs="Times New Roman"/>
          <w:sz w:val="24"/>
          <w:szCs w:val="24"/>
        </w:rPr>
        <w:t xml:space="preserve"> za ta postignuća, vodeći računa o aktualnim okolnostima u kojima Odjel djeluje. Institucionalni okvir poglavito podrazumijeva brigu za razvoj ljudskih resursa. Samo usklađen, osmišljen i integriran razvoj </w:t>
      </w:r>
      <w:r w:rsidRPr="003402B6">
        <w:rPr>
          <w:rFonts w:ascii="Times New Roman" w:hAnsi="Times New Roman" w:cs="Times New Roman"/>
          <w:i/>
          <w:sz w:val="24"/>
          <w:szCs w:val="24"/>
        </w:rPr>
        <w:t>nastavne djelatnosti, znanstvenoistraživačke i stručne djelatnosti,  ljudskih resursa i organizacijskog</w:t>
      </w:r>
      <w:r w:rsidRPr="003402B6">
        <w:rPr>
          <w:rFonts w:ascii="Times New Roman" w:hAnsi="Times New Roman" w:cs="Times New Roman"/>
          <w:sz w:val="24"/>
          <w:szCs w:val="24"/>
        </w:rPr>
        <w:t xml:space="preserve"> ustroja jamče kvalitetu i konkurentnost, a ujedno i partnerski odnos sa srodnim fakultetima u okruženju i u europskom istraživačkom i obrazovnom prostoru. Nedovoljnom brigom o bilo kojem od navedena četiri temeljna stupa uspješnosti Odjela nanosi se bezuvjetna šteta drugim stupovima, jer se svi oni međusobno prožimaju.</w:t>
      </w: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>U proteklom razdoblju djelatnosti Odjela bile su orijentirane prema jačanju znanstvenoistraživačkih postignuća Odjela, kao i jačanju Odjela dovođenjem mlađeg kadra u zvanjima asistenata koji su temelj za daljnji razvoj znanstvenih istraživanja, ali i kvalitetne nastave. Upravo ovaj Odjel pravo je mjesto za razvoj interdisciplinarnih  istraživanja, zbog različitih područja kojima se bave djelatnici Odjela. Snaga Odjela za izobrazbu učitelja i odgojitelja svakako leži u interdisciplinarnom pristupu suvremenoj problematici odgojno-obrazovne politike u Republici Hrvatskoj, ali i na lokalnoj razini u cilju očuvanja tradicionalnih i baštinskih vrijednosti u procesu globalizacije.</w:t>
      </w: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 xml:space="preserve">Približavanje Europskoj uniji uvođenjem europskih standarda i smjernica za kvalitetu (ESG) u svoj kurikulum, Odjel će omogućiti studentima razvoj vještina, stavova i kompetencija potrebnih suvremenom učitelju i odgojitelju spremnom za cjeloživotno obrazovanje, ulaganje u osobnu budućnost i budućnost zajednice, te postizanje kvalitete odgojno-obrazovnog rada u multikulturalnoj zajednici koja, ne samo da prihvaća, već i uvažava različitosti. </w:t>
      </w: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B6">
        <w:rPr>
          <w:rFonts w:ascii="Times New Roman" w:hAnsi="Times New Roman" w:cs="Times New Roman"/>
          <w:sz w:val="24"/>
          <w:szCs w:val="24"/>
        </w:rPr>
        <w:t xml:space="preserve">Strategija Odjela usmjerena je prema napretku i razvoju Odjela za izobrazbu suvremenih učitelja i odgojitelja s europskim smjernicama, ali i svjesnih i sposobnih za zaštitu identiteta i očuvanje povijeno kulturne baštine. </w:t>
      </w:r>
    </w:p>
    <w:p w:rsidR="003402B6" w:rsidRPr="003402B6" w:rsidRDefault="003402B6" w:rsidP="00340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41" w:rsidRPr="003402B6" w:rsidRDefault="00901141" w:rsidP="00901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41" w:rsidRPr="00901141" w:rsidRDefault="00901141" w:rsidP="00901141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1.1  </w:t>
      </w:r>
      <w:r w:rsidRPr="009011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Povijesni razvoj obrazovanja učitelja i odgojitelja u Zadru</w:t>
      </w:r>
    </w:p>
    <w:p w:rsidR="00901141" w:rsidRPr="00901141" w:rsidRDefault="00901141" w:rsidP="0090114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val="pl-PL"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 xml:space="preserve">Obrazovanje učitelja u Zadru ima dugu povijest, ali i kontinuitet od početka 19. stoljeća kada su se organizirali tromjesečni tečajevi za učiteljski poziv, do osnutka Sveučilišta u Zadru, 2002. godine, gdje se na Odjelu za izobrazbu učitelja i odgojitelja školuju budući učitelji na sveučilišnom petogodišnjem studiju. 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pl-PL"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ab/>
        <w:t xml:space="preserve">Prvi tečajevi za pripremanje učitelja održani su 1821., a 1823. Dalmatinska vlada je donijela pravilnik u kojem se određuje da tečaj za obrazovanje učitelja viših početnih škola traje 6 mjeseci, a tečaj za obrazovanje učitelja nižih razreda početnih škola 3 mjeseca. U semestralnom tečaju učili su se predmeti nižih i viših početnih škola, zatim metodika i didaktika, te katehetika. Udžbenici su bili „Metodika di Giuseppe Peitl” i „Manuale del maesti elementari”, na talijanskom jeziku, jer se i tečaj održavao na talijanskom jeziku. Napredak u pripremanju učiteljskih pripravnika nastaje 1848. godine kad je Ministarstvo za javnu nastavu odredilo da se tečajevi za učitelje produže na godinu dana, a učili su sljedeće predmete: vjeronauk, opća pedagogija i metodika, gramatika, stilistika, </w:t>
      </w:r>
      <w:r w:rsidRPr="00901141">
        <w:rPr>
          <w:rFonts w:ascii="Times New Roman" w:eastAsia="Times New Roman" w:hAnsi="Times New Roman"/>
          <w:i/>
          <w:sz w:val="24"/>
          <w:szCs w:val="20"/>
          <w:lang w:val="pl-PL" w:eastAsia="hr-HR"/>
        </w:rPr>
        <w:t>napametno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 xml:space="preserve"> računanje, pismeno računanje, fizika, zorna pouka, zemljopis, opća i nacionalna povijest, prirodopis, nauk o duši i tijelu i pučka higijena, geometrija, crtanje, pisanje, tehnologija, ratarska ekonomija, narodna logika i vježbe u čitanju. Nakon toga produžuje se trajanje tečaja na dvije godine, a u drugoj godini provode se praktične vježbe u nastavnim predmetima koji su se poučavali u pučkoj školi. Upornim zalaganjem zastupnika Narodne stranke bečko ministarstvo je odlukom od 10. kolovoza 1864. godine odobrilo osnivanje posebnog tečaja u kojem će se osposobljavati učiteljski pripravnici na „slavenskom jeziku” za seoske škole,  a 1866. započela je s radom muška učiteljska škola s hrvatskim kao nastavnim jezikom – Zavod za narodne učitelje u Arbanasima, koji se u početku zvao „Convitto illirico pedagogice del Borgo Ervizzo di Zara”, kasnije Muški preparandij, pa Učiteljišće i na kraju Učiteljska škola. Djelovala je do 1921. godine.  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Tijekom talijanske okupacije Zadra (1921-1943) ne djeluju škole za učitelje na hrvatskom jeziku u Zadru, a š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kola je nastavila s radom u Šibeniku i 30. listopada 1922. bilo je svečano otvaranje. Škola je djelovala do 1942. godine.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Ponovno o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ž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ivljavanje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 xml:space="preserve"> š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kolovanja u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itelja na zadarskom podru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ju zapo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inje nakon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 xml:space="preserve"> 2. 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svjetskog rata kada su organizirani brojni te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ajevi za budu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ć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e u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>itelje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901141">
        <w:rPr>
          <w:rFonts w:ascii="Times New Roman" w:eastAsia="Times New Roman" w:hAnsi="Times New Roman"/>
          <w:sz w:val="24"/>
          <w:szCs w:val="24"/>
          <w:lang w:val="pl-PL" w:eastAsia="hr-HR"/>
        </w:rPr>
        <w:t xml:space="preserve">a 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Učiteljska škola otvorena je 29. studenoga 1945., kao produžetak Muškog preparandija u Arbanasima.Tijekom pedesetih godina pristupilo se reformi obrazovanja učiteljskog kadra, pa je 1958. godine donesen Opći zakon o školstvu, kojim je utvrđeno da nekadašnja Učiteljska škola treba postati Pedagoška gimnazija. Tako su 1961./62. godine počeli upisi u prvi razred Pedagoške gimnazije. 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Pozitivna iskustva Pedagoške gimnazije u Zadru preuzela je Pedagoška akademija (1961-1978)., viša škola za obrazovanje nastavnika razredne nastave u nižim razredima osnovnih škola i predmetne nastave u višim razredima osnovne škole</w:t>
      </w:r>
      <w:r w:rsidRPr="00901141">
        <w:rPr>
          <w:rFonts w:ascii="Times New Roman" w:eastAsia="Times New Roman" w:hAnsi="Times New Roman"/>
          <w:sz w:val="24"/>
          <w:szCs w:val="20"/>
          <w:vertAlign w:val="superscript"/>
          <w:lang w:eastAsia="hr-HR"/>
        </w:rPr>
        <w:footnoteReference w:id="1"/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Školovanje učitelja u okviru Pedagoške akademije traje sve do 1978. godine. Tada su Pedagoška akademija Zadar i Filozofski fakultet potpisali Samoupravni sporazum o udruživanju u radnu organizaciju Filozofski fakultet u Zadru. Tako s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>tru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>ni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 dvogodišnji 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>studiji za u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>itelje i odgojitelje Filozofskog fakulteta u Zadru nastavljaju dugu tradiciju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 š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>kola za u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0"/>
          <w:lang w:val="pl-PL" w:eastAsia="hr-HR"/>
        </w:rPr>
        <w:t>itelje u Zadru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</w:p>
    <w:p w:rsidR="00901141" w:rsidRPr="00901141" w:rsidRDefault="00901141" w:rsidP="0090114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Tijekom 1989. godine aktualizirano je pitanje produženja Studija za učitelje na četiri godine. Osamostaljenjem Hrvatske i ustrojem nove vlasti 1992. godine Ministarstvo prosvjete, kulture i športa i Sveučilište u Splitu, verificirali su novi plan i program četverogodišnjeg studija za učitelje razredne nastave, pa je prva generacija redovitih studenata upisana šk.god. 1992/93. Iste godine upisuje se i prva generacija učitelja koji su završili dvogodišnji studij na doškolovanje za četverogodišnji studij, a Odsjek za predškolski odgoj uvodi izvanredni studij.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23. rujna 1998. godine doneseno je Djelomično rješenje i Privremena dopusnica za početak obavljanja djelatnosti Visokoj učiteljskoj školi u Zadru. Školske godine 1998/99 upisuje se prva generacija studenata Visoke učiteljske škole. </w:t>
      </w:r>
    </w:p>
    <w:p w:rsidR="00901141" w:rsidRPr="00901141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ab/>
        <w:t xml:space="preserve">Na vrijednostima prve učiteljske škole, Ilirskog preparandija (1866 – 1921), zatim poslijeratne Učiteljske škole (1945-1965), Pedagoške akademije (1963-1978), dvogodišnjeg, pa četverogodišnjeg studija na Odsjeku za predškolski odgoj i razrednu nastavu na Filozofskom fakultetu (1978-1998), te Visoke učiteljske škole (1998- 2002.) nastavlja se kontinuitet </w:t>
      </w:r>
      <w:r w:rsidRPr="00901141">
        <w:rPr>
          <w:rFonts w:ascii="Times New Roman" w:eastAsia="Times New Roman" w:hAnsi="Times New Roman"/>
          <w:sz w:val="24"/>
          <w:szCs w:val="20"/>
          <w:lang w:val="it-IT" w:eastAsia="hr-HR"/>
        </w:rPr>
        <w:t>obrazovanja u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>č</w:t>
      </w:r>
      <w:r w:rsidRPr="00901141">
        <w:rPr>
          <w:rFonts w:ascii="Times New Roman" w:eastAsia="Times New Roman" w:hAnsi="Times New Roman"/>
          <w:sz w:val="24"/>
          <w:szCs w:val="20"/>
          <w:lang w:val="it-IT" w:eastAsia="hr-HR"/>
        </w:rPr>
        <w:t>itelja i odgojitelja</w:t>
      </w:r>
      <w:r w:rsidRPr="00901141">
        <w:rPr>
          <w:rFonts w:ascii="Times New Roman" w:eastAsia="Times New Roman" w:hAnsi="Times New Roman"/>
          <w:sz w:val="24"/>
          <w:szCs w:val="20"/>
          <w:lang w:eastAsia="hr-HR"/>
        </w:rPr>
        <w:t xml:space="preserve">, na petogodišnjem sveučilišnom studiju Odjela za izobrazbu učitelja i odgojitelja Sveučilišta u Zadru. </w:t>
      </w:r>
    </w:p>
    <w:p w:rsidR="00901141" w:rsidRPr="00901141" w:rsidRDefault="00901141" w:rsidP="0090114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01141">
        <w:rPr>
          <w:rFonts w:ascii="Times New Roman" w:eastAsia="Times New Roman" w:hAnsi="Times New Roman"/>
          <w:spacing w:val="-4"/>
          <w:sz w:val="24"/>
          <w:szCs w:val="24"/>
          <w:shd w:val="clear" w:color="auto" w:fill="FFFFFF"/>
        </w:rPr>
        <w:t>Naime, t</w:t>
      </w:r>
      <w:r w:rsidRPr="0090114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emeljem Zakona o Sveučilištu u Zadru iz srpnja 2002. i aktiviranja tog zakona 30. siječnja 2003. studijski program za učitelje i odgojitelje nastavlja se izvoditi na Stručnom odjelu za izobrazbu učitelja i odgojitelja predškolske djece kao stručni studij. Takav status programi zadržavaju do implementacije Bolonjskog procesa kada se temeljem akreditacije i s dopusnicom Nacionalnog vijeća za visoku naobrazbu do akademske godine 2005/2006. mijenjaju (dakle, program Visoke učiteljske škole upisuju se do navedene akademske godine). Od te akademske godine na Odjelu se izvodi integrirani preddiplomski i diplomski jednopredmetni sveučilišni studij za učitelje – Učiteljski studij 5+0,(za magistre primarnog obrazovanja) i preddiplomski stručni studij za odgojitelje – Predškolski odgoj (za stručne prvostupnike odgojitelje predškolske djece). U okviru studija za učitelje predlažu za izbor dva modula: Modul hrvatskog jezika i književnosti i  Modul povijesti. Istodobno Odjel postaje sveučilišni odjel i od akademske godine 2005/2006. djeluje pod nazivom Odjel za izobrazbu učitelja i  odgojitelja s dva odsjeka – Odsjek za učitelje i  Odsjek za odgojitelje. Treba istaknuti kako je Odjel jedan od nositelja aktivnosti  polaganja stručnih ispita za odgojitelje i učitelje u Zadarskoj županiji, te da je u kontinuitetu od akademske godine 1992/1993. izvodio program za doškolovanje učitelja (do akademske godine 2004./2005.) te da se istodobno do danas izvodi izvanredni studij za odgojitelje. </w:t>
      </w:r>
    </w:p>
    <w:p w:rsidR="00901141" w:rsidRPr="00901141" w:rsidRDefault="00901141" w:rsidP="00901141">
      <w:pPr>
        <w:spacing w:after="0" w:line="360" w:lineRule="auto"/>
        <w:ind w:firstLine="5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901141" w:rsidRPr="00901141" w:rsidRDefault="00901141" w:rsidP="00901141">
      <w:pPr>
        <w:spacing w:after="0" w:line="360" w:lineRule="auto"/>
        <w:ind w:firstLine="5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901141" w:rsidRPr="00901141" w:rsidRDefault="00901141" w:rsidP="00901141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1.2. Odjel za izobrazbu učitelja i odgojitelja danas</w:t>
      </w:r>
    </w:p>
    <w:p w:rsidR="00901141" w:rsidRPr="00901141" w:rsidRDefault="00901141" w:rsidP="00901141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90114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Odjel se u posljednjih desetak godina transformirao u sveučilišni odjel, te je razvojna politika išla prema zapošljavanju mladih ljudi, odnosno asistenata koji su upisali doktorske studije. Prije desetak godina na studijima je izvodilo nastavu svega dvoje nastavnika u znanstveno-nastavnom zvanju s doktoratom, a danas je na odjelu sedamnaest (16) nastavnika u znanstveno-nastavnom ili umjetničko-nastavnom zvanju te osamnaest (18) doktora znanosti. Svi asistenti koji su zasnovali radni odnos u prethodnom razdoblju su doktorirali. Intencija koja je sada aktualna bila je da se studijski programi, odnosno sadržaji kolegija temelje upravo na istraživanjima nastavnika i suradnika, što je i postignuto, jer djelatnici sastavnice sudjeluju na nizu tuzemnih i inozemnih znanstvenih skupova (gdje su akteri i u kreiranju programa i u organizaciji) i sudjeluju na nizu projekata. Znanstvenici, nastavnici i suradnici sudjeluju u programima, kako znanstvenim, tako obrazovnim u lokalnoj zajednici, organiziraju književne, likovne i glazbene priredbe, te drže brojna pozvana predavanja od strane Agencije za odgoj i obrazovanje u dječjim vrtićima i školama u svrhu dodatne edukacije odgojitelja i učitelja.  Akademski pjevački zbor Sveučilišta u Zadru u kojem pjevaju studenti sa svih sveučilišnih odjela uz jezgru domicilnog odjela i voditelja zbora,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nastavnika</w:t>
      </w:r>
      <w:r w:rsidRPr="0090114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s Odjela za izobrazbu ucitelja i odgojitelja. Djelatnici Odjela vode i sportske institucije u okviru Sveučilišnog sportskog saveza. U sve aktivnosti uključeni su studenti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O</w:t>
      </w:r>
      <w:r w:rsidRPr="0090114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djela, kako na programskoj razni, tako i na operativnoj razini. Sudjelovali su u umjetničkim projektima, zatim u znanstvenim i stručnim aktivnostima odjela. Osnovan je i Alumni klub studenata učitelja i odgojitelja, a praćenje i suradnja s našim diplomiranim studentima odvija se kroz stručne i znanstvene skupove, kroz umjetničke radionice i izložbe.     </w:t>
      </w:r>
    </w:p>
    <w:p w:rsidR="007C6394" w:rsidRDefault="007C6394" w:rsidP="00340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2B6" w:rsidRDefault="003402B6" w:rsidP="00340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1141" w:rsidRDefault="00901141" w:rsidP="00340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1141" w:rsidRDefault="00901141" w:rsidP="00340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1141" w:rsidRDefault="00901141" w:rsidP="00340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2B6" w:rsidRDefault="003402B6" w:rsidP="00340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2B6" w:rsidRPr="0007143C" w:rsidRDefault="003402B6" w:rsidP="003402B6">
      <w:pPr>
        <w:pStyle w:val="ListParagraph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1.3. Ustroj i upravljanje Odjelom za izobrazbu učitelja i odgojitelja</w:t>
      </w:r>
    </w:p>
    <w:p w:rsidR="005A4111" w:rsidRDefault="0032019D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8633B45" wp14:editId="51E5AAFE">
            <wp:extent cx="5753100" cy="4467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11" w:rsidRDefault="005A4111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1D5" w:rsidRDefault="005311D5" w:rsidP="0032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1.4. Osiguranje kvalitete na Odjelu</w:t>
      </w:r>
    </w:p>
    <w:p w:rsidR="001271D7" w:rsidRDefault="001271D7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1D7" w:rsidRDefault="0032019D" w:rsidP="009024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Odjelu već dugi niz godina djeluje povjerenstvo </w:t>
      </w:r>
      <w:r w:rsidR="00946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osiguranje kvalitete. Povjerenstvo se sastaje minimalno jednom u semestru, a po potrebi </w:t>
      </w:r>
      <w:r w:rsidR="00902491">
        <w:rPr>
          <w:rFonts w:ascii="Times New Roman" w:eastAsia="Times New Roman" w:hAnsi="Times New Roman" w:cs="Times New Roman"/>
          <w:sz w:val="24"/>
          <w:szCs w:val="24"/>
          <w:lang w:eastAsia="hr-HR"/>
        </w:rPr>
        <w:t>i češće. Predsjednica povjerenstva i Odjelna koordinatorica za osiguravanje kvalitete na Odjelu zajedno s ostalim koordinatorima za kvalitetu na Sveučilištu u Zadru sudjeluje u radu Povjerenstva za unaprijeđivanje kvalitete na Sveučilištu u Zadru.</w:t>
      </w:r>
    </w:p>
    <w:p w:rsidR="001271D7" w:rsidRDefault="001271D7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019D" w:rsidRDefault="0032019D" w:rsidP="005463D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019D" w:rsidRDefault="0032019D" w:rsidP="005463D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019D" w:rsidRDefault="0032019D" w:rsidP="005463D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63D1" w:rsidRPr="005463D1" w:rsidRDefault="005463D1" w:rsidP="003201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Pr="005463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Misija i vizija djelovanja Odjela za izobrazbu učitelja i odgojitelja</w:t>
      </w:r>
    </w:p>
    <w:p w:rsidR="005463D1" w:rsidRDefault="005463D1" w:rsidP="005463D1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2.1.  </w:t>
      </w:r>
      <w:r w:rsidRPr="005463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Misija</w:t>
      </w:r>
    </w:p>
    <w:p w:rsidR="000D11B1" w:rsidRDefault="000D11B1" w:rsidP="000D11B1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duhu akademskih načela i slobode znanstvenog i umjetničkog stvaranja, no odgovorno i etički, želimo:</w:t>
      </w:r>
    </w:p>
    <w:p w:rsidR="000D11B1" w:rsidRDefault="000D11B1" w:rsidP="000D11B1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razvijanjem identiteta i promidžbom studijskih programa njegovati jedinstvenost i prepoznatljivost djelatnosti Odjela kako unutar prostora Republike Hrvatske, tako i šireg prostora Europske unije;</w:t>
      </w:r>
    </w:p>
    <w:p w:rsidR="000D11B1" w:rsidRDefault="000D11B1" w:rsidP="000D11B1">
      <w:pPr>
        <w:pStyle w:val="ListParagraph"/>
        <w:numPr>
          <w:ilvl w:val="0"/>
          <w:numId w:val="2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provedbom kvalitetne nastavne i znanstvene djelatnosti, utemeljene na ishodima učenja i koncepciji cjeloživotnog obrazovanja, aktivno surađivati s lokalnom i širom društvenom zajednicom te se uključiti u europski znanstveno-istraživački prostor i europski prostor visokog obrazovanja.</w:t>
      </w:r>
    </w:p>
    <w:p w:rsidR="005463D1" w:rsidRDefault="005463D1" w:rsidP="005463D1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2.2.  </w:t>
      </w:r>
      <w:r w:rsidRPr="005463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Vizija</w:t>
      </w:r>
    </w:p>
    <w:p w:rsidR="001B6BF3" w:rsidRPr="001B6BF3" w:rsidRDefault="001B6BF3" w:rsidP="001B6BF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7670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izobrzabu učitelja i odgojitelja interdisciplinarnost studijskih programa podiže na razinu kohezije i integracije svih znanstvenih postignuća i teorija s ciljem izgradnje učiteljskog i odgojiteljskog kadra koji u sustav odgoja i obrazovanja donosi novine i spreman je u duhu humanističkih postavki,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7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ali s jasnom vizijom budućnosti i njezinih potreba odgojiti i obrazovati buduće naraštaje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 će izgrađivati i njegovati zajednicu u kojoj žive.</w:t>
      </w:r>
    </w:p>
    <w:p w:rsidR="001D3E68" w:rsidRDefault="001D3E68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141" w:rsidRDefault="0090114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141" w:rsidRDefault="0090114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141" w:rsidRDefault="0090114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141" w:rsidRDefault="0090114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141" w:rsidRDefault="0090114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1141" w:rsidRPr="005463D1" w:rsidRDefault="0090114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63D1" w:rsidRPr="005463D1" w:rsidRDefault="005463D1" w:rsidP="00546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 w:rsidRPr="005463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Polazišta za izradu Razvojne strategije Odjela za izobrazbu učitelja i odgojitelja</w:t>
      </w:r>
    </w:p>
    <w:p w:rsidR="000C0E40" w:rsidRDefault="005463D1" w:rsidP="0032019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3.1.  </w:t>
      </w:r>
      <w:r w:rsidRPr="005463D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SWOT analiza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C0E40" w:rsidRPr="0032019D" w:rsidTr="00221E5F">
        <w:tc>
          <w:tcPr>
            <w:tcW w:w="4644" w:type="dxa"/>
          </w:tcPr>
          <w:p w:rsidR="000C0E40" w:rsidRPr="0032019D" w:rsidRDefault="000C0E40" w:rsidP="001D3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Snaga                        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Interdisciplinarnost i multidisciplinarnost programa u skladu s potrebama ranog razvoja i primarnog obrazovanja.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>Studijski programi omogućuju vertikalnu i horizontalnu prohodnost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 xml:space="preserve">- Modularni koncept studija za učitelje omogućuje pokretljivost studenata i u funkciji je stjecanja dodatnih kompetencija u pojedinim predmetima koji se realiziraju u razrednoj nastavi. 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Bro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>j zaposlenih</w:t>
            </w:r>
            <w:r w:rsidRPr="003201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Visoka motiviranost pristupnika za ponuđene studijske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 xml:space="preserve"> programe</w:t>
            </w:r>
            <w:r w:rsidRPr="003201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Odjel se uspješ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>no bavi izdavačkom djelatnošću</w:t>
            </w:r>
            <w:r w:rsidRPr="0032019D">
              <w:rPr>
                <w:rFonts w:ascii="Times New Roman" w:hAnsi="Times New Roman"/>
                <w:sz w:val="24"/>
                <w:szCs w:val="24"/>
              </w:rPr>
              <w:t>, te kontinuirano organizira znanstveno-stručne skupove.</w:t>
            </w:r>
          </w:p>
          <w:p w:rsidR="001D3E68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 xml:space="preserve">- Odjel surađuje s institucijama na lokalnoj i državnoj razini, ali 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>i na međunarodnoj razini .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Odjel djeluje na području kulture i umjetnosti u lokalnoj zajednici, ali i na nacionalnom planu i međunarodnoj razini.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Odjel dugi niz godina promiče programe cjeloživotnog obrazovanja učitelja i odgojitelja kroz različite oblike doškolovanja učitelja te dugi niz godina nudi  iz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>vanredni studij za odgojitelje, preddiplomski i diplomski sveučilišni studij</w:t>
            </w:r>
          </w:p>
          <w:p w:rsidR="000C0E40" w:rsidRPr="0032019D" w:rsidRDefault="000C0E40" w:rsidP="001D3E68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>- Potiče razvoj regionalne zajednice na polju odgoja i obrazovanja permanentnom međuinstitucionalnom suradnjom koju realizira organiziranjem edukacije kroz plenarna predavanja i radionice.</w:t>
            </w:r>
          </w:p>
        </w:tc>
        <w:tc>
          <w:tcPr>
            <w:tcW w:w="4644" w:type="dxa"/>
          </w:tcPr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b/>
                <w:sz w:val="24"/>
                <w:szCs w:val="24"/>
              </w:rPr>
              <w:t>Slabosti</w:t>
            </w:r>
          </w:p>
          <w:p w:rsidR="000C0E40" w:rsidRPr="0032019D" w:rsidRDefault="000C0E40" w:rsidP="000C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nedostatak sustavnoga praćenja upisa i zapošljivosti studenata</w:t>
            </w:r>
          </w:p>
          <w:p w:rsidR="000C0E40" w:rsidRPr="0032019D" w:rsidRDefault="000C0E40" w:rsidP="000C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Obim posla u tajništvu i nedovoljno administrativnog osoblja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-Neujednačeni kriteriji procjenjivanja znanja i ocjenjivanja studenata u različitim kolegijima.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 xml:space="preserve">-Ključni nedostatak realizacije zacrtane strategije je veliko opterećenje izvođenjem nastave koje rezultira nemogućnošću većeg angažiranja na polju znanstvenog istraživanja, a isto tako i zapošljavanjem novih djelatnika. 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Nedostatak prostora.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loš sustav promidžbe studijskih programa</w:t>
            </w:r>
          </w:p>
          <w:p w:rsidR="000C0E40" w:rsidRPr="0032019D" w:rsidRDefault="000C0E40" w:rsidP="000C0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40" w:rsidRPr="0032019D" w:rsidTr="00221E5F">
        <w:tc>
          <w:tcPr>
            <w:tcW w:w="4644" w:type="dxa"/>
          </w:tcPr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b/>
                <w:sz w:val="24"/>
                <w:szCs w:val="24"/>
              </w:rPr>
              <w:t>Prilike</w:t>
            </w:r>
          </w:p>
          <w:p w:rsidR="000C0E40" w:rsidRPr="0032019D" w:rsidRDefault="001D3E68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E40" w:rsidRPr="0032019D">
              <w:rPr>
                <w:rFonts w:ascii="Times New Roman" w:hAnsi="Times New Roman"/>
                <w:sz w:val="24"/>
                <w:szCs w:val="24"/>
              </w:rPr>
              <w:t>- Rad na definiranju vertikale u izobrazbi učitelja prema doktorskim studijima i vertikale odgojitelja prema sveučilišnim i doktorskim studijima.</w:t>
            </w:r>
          </w:p>
          <w:p w:rsidR="000C0E40" w:rsidRPr="0032019D" w:rsidRDefault="000C0E40" w:rsidP="00221E5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19D">
              <w:rPr>
                <w:rFonts w:ascii="Times New Roman" w:hAnsi="Times New Roman"/>
                <w:sz w:val="24"/>
                <w:szCs w:val="24"/>
              </w:rPr>
              <w:t xml:space="preserve">- Povećanje broja </w:t>
            </w:r>
            <w:r w:rsidR="001D3E68" w:rsidRPr="0032019D">
              <w:rPr>
                <w:rFonts w:ascii="Times New Roman" w:hAnsi="Times New Roman"/>
                <w:sz w:val="24"/>
                <w:szCs w:val="24"/>
              </w:rPr>
              <w:t>djelatnika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Poboljšanja suradnje sa školama i vrtićima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Definiranje i ujednačavanje kriterija za ocjenjivanje studenata.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Usavršavanje nastavnika i mentora, te poticanje istih na redovito sudjelovanje u radu stručnih i znanstvenih skupova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 xml:space="preserve">- Pokretanje i prijave na natječaje za znanstvene projekte. 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-Povezivanje sa srodnim odjelima u Republici Hrvatskoj i šire.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-Pokretanje interdisciplinarnih projekata, te povezivanje različitih znanstvenih područja.</w:t>
            </w:r>
          </w:p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Mogućnost prijave na projekte EU, te mogućnosti korištenja sredstava predpristupnih i strukturnih fondova.</w:t>
            </w:r>
          </w:p>
          <w:p w:rsidR="000C0E40" w:rsidRPr="0032019D" w:rsidRDefault="000C0E40" w:rsidP="0022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C0E40" w:rsidRPr="0032019D" w:rsidRDefault="000C0E40" w:rsidP="00221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b/>
                <w:sz w:val="24"/>
                <w:szCs w:val="24"/>
              </w:rPr>
              <w:t>Prijetnje</w:t>
            </w:r>
          </w:p>
          <w:p w:rsidR="001D3E68" w:rsidRPr="0032019D" w:rsidRDefault="000C0E40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3E68" w:rsidRPr="0032019D">
              <w:rPr>
                <w:rFonts w:ascii="Times New Roman" w:hAnsi="Times New Roman" w:cs="Times New Roman"/>
                <w:sz w:val="24"/>
                <w:szCs w:val="24"/>
              </w:rPr>
              <w:t xml:space="preserve">daljnja ograničenja u financiranju zbog gospodarske krize i porasta javnoga duga </w:t>
            </w:r>
          </w:p>
          <w:p w:rsidR="000C0E40" w:rsidRPr="0032019D" w:rsidRDefault="001D3E68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 xml:space="preserve">-  daljnji pad ugleda učiteljske i odgojiteljske profesije u javnosti </w:t>
            </w:r>
          </w:p>
          <w:p w:rsidR="001D3E68" w:rsidRPr="0032019D" w:rsidRDefault="001D3E68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 xml:space="preserve">- izostanak kvalitetnoga i stručnoga javnog dijaloga o politici odgoja i obrazovanja </w:t>
            </w:r>
          </w:p>
          <w:p w:rsidR="001D3E68" w:rsidRPr="0032019D" w:rsidRDefault="001D3E68" w:rsidP="00221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9D">
              <w:rPr>
                <w:rFonts w:ascii="Times New Roman" w:hAnsi="Times New Roman" w:cs="Times New Roman"/>
                <w:sz w:val="24"/>
                <w:szCs w:val="24"/>
              </w:rPr>
              <w:t>- demografska kretanja i daljnji nesrazmjer upisnih kvota i potreba tržišta rada</w:t>
            </w:r>
          </w:p>
          <w:p w:rsidR="000C0E40" w:rsidRPr="0032019D" w:rsidRDefault="000C0E40" w:rsidP="0022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E40" w:rsidRDefault="000C0E40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63D1" w:rsidRDefault="005463D1" w:rsidP="005463D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 </w:t>
      </w:r>
      <w:r w:rsidRPr="005463D1">
        <w:rPr>
          <w:rFonts w:ascii="Times New Roman" w:hAnsi="Times New Roman" w:cs="Times New Roman"/>
          <w:b/>
          <w:sz w:val="24"/>
          <w:szCs w:val="24"/>
        </w:rPr>
        <w:t>Realizacija ciljeva Razvojne strategije za razdoblje 2011.- 2016.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 xml:space="preserve">U listopadu 2011. godine Odjel za izobrazbu učitelja i odgojitelja Sveučilišta u Zadruu skladu s misijom i dugoročnom vizijom Odjela, te provedenom SWOT analizom  definirao je strateške ciljevena provedbu kojihće se usmjeriti u razdoblju 2011. – 2016. godine.  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Kao opći cilj definiran je podizanje kvalitete rada, odnosno poticanjeznanstveno-nastavne i stručne, upravljačke, administrativne i tehničke izvrsnosti.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Iz općeg cilja izvedeni su specifični ciljevi, kako slijedi: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Osnaživanje znanstveno-istraživačkog rada.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Unaprijeđenje postojećih i uvođenje novih studijskih programa preddiplomske, diplomske i doktorske razine.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Promicanje međunarodne mobilnost i suradnju nastavnika, studenata i administrativnog osoblja.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Omogućavanje razvoja znanstvenih i stručnih potencijala nastavnika.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Unaprjeđivanje kvalitete odgoja i obrazovanja u užoj i široj zajednici.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Poticanje rada na izdavaštvu.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Kreiranje i permanentno revidiranje kurikula Odjela.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Osnivanje Alumni kluba, te ostvarivanje bolju komunikaciju s završenim studentima.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Poboljšanje prostornih uvjeta.</w:t>
      </w:r>
    </w:p>
    <w:p w:rsidR="000C0E40" w:rsidRPr="00B943EA" w:rsidRDefault="000C0E40" w:rsidP="000C0E40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Ažuriranje web stranice Odjela.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Istekom petogodišnjeg razdoblja analizirani su ostvareni i neostvareni ciljevi definirani u strategiji Odjela za izobrazbu učitelja i odgojitelja za razdoblje 2011. – 2016.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0E40" w:rsidRPr="0032019D" w:rsidRDefault="000C0E40" w:rsidP="000C0E40">
      <w:pPr>
        <w:pStyle w:val="Odlomakpopisa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19D">
        <w:rPr>
          <w:rFonts w:ascii="Times New Roman" w:hAnsi="Times New Roman"/>
          <w:bCs/>
          <w:sz w:val="24"/>
          <w:szCs w:val="24"/>
        </w:rPr>
        <w:t>Razvoj nastavne djelatnosti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B943EA">
        <w:rPr>
          <w:rFonts w:ascii="Times New Roman" w:hAnsi="Times New Roman"/>
          <w:bCs/>
          <w:sz w:val="24"/>
          <w:szCs w:val="24"/>
        </w:rPr>
        <w:t xml:space="preserve">S pokretanjem Bolonjskog procesa, od 2006. godine na Odjelu su se izvodila dva studijska programa; </w:t>
      </w:r>
      <w:r w:rsidRPr="00B943EA">
        <w:rPr>
          <w:rFonts w:ascii="Times New Roman" w:hAnsi="Times New Roman"/>
          <w:sz w:val="24"/>
          <w:szCs w:val="24"/>
        </w:rPr>
        <w:t xml:space="preserve">trogodišnji Preddiplomski stručni studij za odgojitelje i petogodišnji Sveučilišni integrirani preddiplomski i diplomski studij za učitelje u primarnom obrazovanju. </w:t>
      </w:r>
      <w:r w:rsidRPr="00B943EA">
        <w:rPr>
          <w:rFonts w:ascii="Times New Roman" w:hAnsi="Times New Roman"/>
          <w:bCs/>
          <w:sz w:val="24"/>
          <w:szCs w:val="24"/>
        </w:rPr>
        <w:t>Jedno od područja djelatnosti na koje se Odjel u Strategiji 2011.-2016. usmjerio bio je razvoj nastavne djelatnosti kao jedne od temeljnih zadaća. Strategijom za navedeno razdoblje planirana je revizija postojećih studijskih programa i pokretanje novih studijskih programa.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43EA">
        <w:rPr>
          <w:rFonts w:ascii="Times New Roman" w:hAnsi="Times New Roman"/>
          <w:bCs/>
          <w:sz w:val="24"/>
          <w:szCs w:val="24"/>
        </w:rPr>
        <w:t xml:space="preserve">U strategiji 2011. - 2016. je također planirana informatizacija nastavnog procesa. 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C0E40" w:rsidRPr="00B943EA" w:rsidRDefault="000C0E40" w:rsidP="000C0E40">
      <w:pPr>
        <w:pStyle w:val="Odlomakpopisa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43EA">
        <w:rPr>
          <w:rFonts w:ascii="Times New Roman" w:hAnsi="Times New Roman"/>
          <w:b/>
          <w:bCs/>
          <w:sz w:val="24"/>
          <w:szCs w:val="24"/>
        </w:rPr>
        <w:t>Revizija postojećih programa i poktretanje preddiplomskog i diplomskog studija za odgojitelje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141" w:rsidRPr="00901141" w:rsidRDefault="00901141" w:rsidP="00901141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1141">
        <w:rPr>
          <w:rFonts w:ascii="Times New Roman" w:hAnsi="Times New Roman"/>
          <w:b/>
          <w:bCs/>
          <w:i/>
          <w:sz w:val="24"/>
          <w:szCs w:val="24"/>
        </w:rPr>
        <w:t xml:space="preserve">Realizacija: </w:t>
      </w:r>
      <w:r w:rsidRPr="00901141">
        <w:rPr>
          <w:rFonts w:ascii="Times New Roman" w:hAnsi="Times New Roman"/>
          <w:sz w:val="24"/>
          <w:szCs w:val="24"/>
        </w:rPr>
        <w:t xml:space="preserve">Zadaća pokretanja preddiplomskog sveučilišnog studija ranog i predškolskog odgoja na Odjelu je realizirana. Tako se ak. godine 2014./15. krenulo s realizacijom Sveučilišnog preddiplomskog studija ranog i predškolskog odgoja i obrazovanja. Time se na Odjelu unaprijedila kvaliteta rada i osigurana je vertikalna prohodnost završenim studentima (bacc.presc.edu.) Isto tako, pokrenut je diplomski studij ranog i predškolskog odgoja i obrazovanja. Akademske god. 2016./17., nakon dobivanja dopusnice, upisana je prva generacija studenata na diplomski sveučilišni studij Rani i predškolski odgoj i obrazovanje. Iste akademske godine (2016./17.) pokrenut je i revidirani studijski program na Integriranom preddiplomskom i diplomskom studiju za učitelje. Važno je istaknuti kako je akademske godine 2016./17. na Odjelu izveden program razlikovne godine </w:t>
      </w:r>
      <w:r w:rsidRPr="00901141">
        <w:rPr>
          <w:rFonts w:ascii="Times New Roman" w:hAnsi="Times New Roman"/>
          <w:strike/>
          <w:sz w:val="24"/>
          <w:szCs w:val="24"/>
        </w:rPr>
        <w:t xml:space="preserve">kao </w:t>
      </w:r>
      <w:r w:rsidRPr="00901141">
        <w:rPr>
          <w:rFonts w:ascii="Times New Roman" w:hAnsi="Times New Roman"/>
          <w:strike/>
          <w:sz w:val="24"/>
          <w:szCs w:val="24"/>
          <w:u w:val="single"/>
        </w:rPr>
        <w:t>edukacija</w:t>
      </w:r>
      <w:r w:rsidRPr="00901141">
        <w:rPr>
          <w:rFonts w:ascii="Times New Roman" w:hAnsi="Times New Roman"/>
          <w:sz w:val="24"/>
          <w:szCs w:val="24"/>
          <w:u w:val="single"/>
        </w:rPr>
        <w:t xml:space="preserve"> za</w:t>
      </w:r>
      <w:r w:rsidRPr="00901141">
        <w:rPr>
          <w:rFonts w:ascii="Times New Roman" w:hAnsi="Times New Roman"/>
          <w:sz w:val="24"/>
          <w:szCs w:val="24"/>
        </w:rPr>
        <w:t xml:space="preserve"> kojim se odgajateljima sa završenim dvogodišnjim studijem predškolskog odgoja omogućilo stjecanje dodatnih kompetencija i ECTS bodova, potrebnih za upis na diplomski sveučilišni studij Ranoga i predškolskoga odgoja i obrazovanjea. Planirano uvođenje poslijediplomskog znanstvenog doktorskog studija iz područja obrazovanja nije do danas realizirano zbog prostornih, organizacijskih i kadrovskih razloga.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0E40" w:rsidRPr="00B943EA" w:rsidRDefault="000C0E40" w:rsidP="000C0E40">
      <w:pPr>
        <w:pStyle w:val="Odlomakpopisa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bCs/>
          <w:sz w:val="24"/>
          <w:szCs w:val="24"/>
        </w:rPr>
        <w:t>Informatizacija nastavnog procesa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43EA">
        <w:rPr>
          <w:rFonts w:ascii="Times New Roman" w:hAnsi="Times New Roman"/>
          <w:b/>
          <w:bCs/>
          <w:i/>
          <w:sz w:val="24"/>
          <w:szCs w:val="24"/>
        </w:rPr>
        <w:t>Realizacija:</w:t>
      </w:r>
      <w:r w:rsidRPr="00B943EA">
        <w:rPr>
          <w:rFonts w:ascii="Times New Roman" w:hAnsi="Times New Roman"/>
          <w:bCs/>
          <w:sz w:val="24"/>
          <w:szCs w:val="24"/>
        </w:rPr>
        <w:t>Planirana informatizacija nastavnog procesa kao jedna od zadaća iz Strategije odjela je  u velikoj mjeri ostvarena, budući su sve učionice informatički opremljene sa računalima i projektorima, a u svima je dostupna i internet veza. U jednoj učionici instalirana je pametna ploča. Informatizacija na Odjelu provedena je uvođenjem i korištenjem Merlina kao sustava za e-učenje.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B943EA">
        <w:rPr>
          <w:rFonts w:ascii="Times New Roman" w:hAnsi="Times New Roman"/>
          <w:bCs/>
          <w:sz w:val="24"/>
          <w:szCs w:val="24"/>
        </w:rPr>
        <w:t>Unaprjeđenje sustava mentorstva studentima u svrhu što bolje i kvalitetnije komunikacije i prohodnosti informacija provedeno je kroz dodjeljivanje nastavnika/mentora za svaku studijsku godinu, kako na redovitim studijskim programima tako i na ovima koji se izvode u obliku izvanrednog studija, što je uvelike unaprijedilo kvalitetu rada i studiranja na Odjelu.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0C0E40" w:rsidRPr="00B943EA" w:rsidRDefault="000C0E40" w:rsidP="000C0E40">
      <w:pPr>
        <w:pStyle w:val="Odlomakpopisa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943EA">
        <w:rPr>
          <w:rFonts w:ascii="Times New Roman" w:hAnsi="Times New Roman"/>
          <w:b/>
          <w:bCs/>
          <w:sz w:val="24"/>
          <w:szCs w:val="24"/>
        </w:rPr>
        <w:t>Pokretanje doktorskog studija iz područja obrazovanja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43EA">
        <w:rPr>
          <w:rFonts w:ascii="Times New Roman" w:hAnsi="Times New Roman"/>
          <w:b/>
          <w:bCs/>
          <w:i/>
          <w:sz w:val="24"/>
          <w:szCs w:val="24"/>
        </w:rPr>
        <w:t>Realizacija:</w:t>
      </w:r>
      <w:r w:rsidRPr="00B943EA">
        <w:rPr>
          <w:rFonts w:ascii="Times New Roman" w:hAnsi="Times New Roman"/>
          <w:bCs/>
          <w:sz w:val="24"/>
          <w:szCs w:val="24"/>
        </w:rPr>
        <w:t>Strategijom Odjela za razdoblje 2011. – 2016. godine planirano je pokretanje dotorskog studija iz područja odgoja i obrazovanja u suradnji s drugim Odjelima na Sveučilištu ili partnerima s drugih Sveučilišta. Ova zadaća nije realizirana jer nisu proneđeni strateški partneri, a kadrovski resursi u navedenom razdoblju nisu bili dovoljni za samostalno pokretanje i realizaciju doktorskog studija. S druge strane bilo je opravdano uložiti napore u kvalitetnu reviziju postojećih programa kao i pokretanje diplomskog studija za odgojitelje. Stoga se pri planiranju budućih strategijskih dokumenata ova zadaća mora predvidjeti i redefinirati u skladu s postojećim stanjem na tržištu rada i potrebama društva.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0E40" w:rsidRPr="0032019D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019D">
        <w:rPr>
          <w:rFonts w:ascii="Times New Roman" w:hAnsi="Times New Roman"/>
          <w:bCs/>
          <w:sz w:val="24"/>
          <w:szCs w:val="24"/>
        </w:rPr>
        <w:t>2. Osnaživanje znanstveno-istraživačkog rada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Kao glavne smjernice znanstveno-istraživačke djelatnosti Odjela definirane su :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0E40" w:rsidRPr="00B943EA" w:rsidRDefault="000C0E40" w:rsidP="000C0E40">
      <w:pPr>
        <w:pStyle w:val="Odlomakpopisa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i/>
          <w:iCs/>
          <w:sz w:val="24"/>
          <w:szCs w:val="24"/>
        </w:rPr>
        <w:t>Temeljna znanstvena istraživanja</w:t>
      </w:r>
      <w:r w:rsidRPr="00B943EA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B943EA">
        <w:rPr>
          <w:rFonts w:ascii="Times New Roman" w:hAnsi="Times New Roman"/>
          <w:sz w:val="24"/>
          <w:szCs w:val="24"/>
        </w:rPr>
        <w:t>odnosno poticanje interdisciplinarne istraživačke programa, a po potrebi i partnere izvan Fakulteta. Kako bi takvi programi uistinu zaživjeli, treba djelovati na njihovoj promociji, izvan i unutar Odjela.</w:t>
      </w:r>
    </w:p>
    <w:p w:rsidR="000C0E40" w:rsidRPr="00B943EA" w:rsidRDefault="000C0E40" w:rsidP="0032019D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0E40" w:rsidRPr="00B943EA" w:rsidRDefault="000C0E40" w:rsidP="000C0E40">
      <w:pPr>
        <w:pStyle w:val="Odlomakpopisa1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 xml:space="preserve">Uključivanje i znanstvene i umjetničke projekte 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01141" w:rsidRPr="00901141" w:rsidRDefault="00901141" w:rsidP="009011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901141">
        <w:rPr>
          <w:rFonts w:ascii="Times New Roman" w:hAnsi="Times New Roman"/>
          <w:b/>
          <w:i/>
          <w:iCs/>
          <w:sz w:val="24"/>
          <w:szCs w:val="24"/>
        </w:rPr>
        <w:t xml:space="preserve">Relizacija: </w:t>
      </w:r>
      <w:r w:rsidRPr="00901141">
        <w:rPr>
          <w:rFonts w:ascii="Times New Roman" w:hAnsi="Times New Roman"/>
          <w:sz w:val="24"/>
          <w:szCs w:val="24"/>
        </w:rPr>
        <w:t>Interdisciplinarna istraživačka suradnja ostvarena je u razdoblju od 2013. do 2015. godine s Pedagoškim fakultetom Sveučilišta zapadne Mađarske (</w:t>
      </w:r>
      <w:r w:rsidRPr="00901141">
        <w:rPr>
          <w:rFonts w:ascii="Times New Roman" w:hAnsi="Times New Roman"/>
          <w:bCs/>
          <w:sz w:val="24"/>
          <w:szCs w:val="24"/>
        </w:rPr>
        <w:t xml:space="preserve">University Of West Hungary, Benedek Elek Faculty Of Pedagogy) kroz provedbu </w:t>
      </w:r>
      <w:r w:rsidRPr="00901141">
        <w:rPr>
          <w:rFonts w:ascii="Times New Roman" w:eastAsia="Times New Roman" w:hAnsi="Times New Roman"/>
          <w:sz w:val="24"/>
          <w:szCs w:val="24"/>
          <w:lang w:eastAsia="hr-HR"/>
        </w:rPr>
        <w:t xml:space="preserve">međunarodnog znanstveno-istraživačkog projekta pod naslovom </w:t>
      </w:r>
      <w:r w:rsidRPr="00901141">
        <w:rPr>
          <w:rFonts w:ascii="Times New Roman" w:hAnsi="Times New Roman"/>
          <w:bCs/>
          <w:i/>
          <w:sz w:val="24"/>
          <w:szCs w:val="24"/>
        </w:rPr>
        <w:t xml:space="preserve">Early Childhood Education. </w:t>
      </w:r>
      <w:r w:rsidRPr="00901141">
        <w:rPr>
          <w:rFonts w:ascii="Times New Roman" w:hAnsi="Times New Roman"/>
          <w:bCs/>
          <w:sz w:val="24"/>
          <w:szCs w:val="24"/>
        </w:rPr>
        <w:t xml:space="preserve">Voditelj  projektabio je dr.sc. </w:t>
      </w:r>
      <w:r w:rsidRPr="00901141">
        <w:rPr>
          <w:rFonts w:ascii="Times New Roman" w:hAnsi="Times New Roman"/>
          <w:sz w:val="24"/>
          <w:szCs w:val="24"/>
        </w:rPr>
        <w:t xml:space="preserve">Lászlo Varga, a u realizaciji projekta sudjelovali su partneri istraživači iz Mađarske, Velike Britanije, Španjolske, Turske, Grčke, Tajlanda, Češke i SAD-a. Sudionici u projektu s Odjela za izobrazbu učitelja i odgojitelja bili su. Robert Bacalja, Katarina Ivon, Smiljana Zrilić, Violeta Valjan Vukić, Tamara Kisovar-Ivanda, Mira Klarin i Diana Nenadic-Bilan. Takoder, prof.dr.sc. Smiljana </w:t>
      </w:r>
      <w:proofErr w:type="spellStart"/>
      <w:r w:rsidRPr="00901141">
        <w:rPr>
          <w:rFonts w:ascii="Times New Roman" w:hAnsi="Times New Roman"/>
          <w:sz w:val="24"/>
          <w:szCs w:val="24"/>
        </w:rPr>
        <w:t>Zrilic</w:t>
      </w:r>
      <w:proofErr w:type="spellEnd"/>
      <w:r w:rsidRPr="00901141">
        <w:rPr>
          <w:rFonts w:ascii="Times New Roman" w:hAnsi="Times New Roman"/>
          <w:sz w:val="24"/>
          <w:szCs w:val="24"/>
        </w:rPr>
        <w:t xml:space="preserve">, suradnica je na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Međunarodnom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znanstveno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istraživačkom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projektu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: </w:t>
      </w:r>
      <w:r w:rsidRPr="00901141">
        <w:rPr>
          <w:rFonts w:ascii="Times New Roman" w:eastAsia="LiberationSansNarrow" w:hAnsi="Times New Roman" w:cs="Times New Roman"/>
          <w:i/>
          <w:sz w:val="24"/>
          <w:szCs w:val="24"/>
          <w:lang w:val="en-AU" w:eastAsia="hr-HR"/>
        </w:rPr>
        <w:t>Exploring Perceptions of Well-being and Mentorship Within Canadian and Croatian Faculties of Education.</w:t>
      </w:r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Voditelj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Projekta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prof.dr.sc.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Siniša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Opić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Učiteljski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fakultet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Sveučilišta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Zagrebu</w:t>
      </w:r>
      <w:proofErr w:type="spellEnd"/>
      <w:r w:rsidRPr="00901141">
        <w:rPr>
          <w:rFonts w:ascii="Times New Roman" w:eastAsia="LiberationSansNarrow" w:hAnsi="Times New Roman" w:cs="Times New Roman"/>
          <w:sz w:val="24"/>
          <w:szCs w:val="24"/>
          <w:lang w:val="en-AU" w:eastAsia="hr-HR"/>
        </w:rPr>
        <w:t>.</w:t>
      </w:r>
    </w:p>
    <w:p w:rsidR="00901141" w:rsidRPr="00F56569" w:rsidRDefault="00901141" w:rsidP="00901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C0E40" w:rsidRPr="00B943EA" w:rsidRDefault="000C0E40" w:rsidP="000C0E40">
      <w:pPr>
        <w:pStyle w:val="Odlomakpopisa1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i/>
          <w:iCs/>
          <w:sz w:val="24"/>
          <w:szCs w:val="24"/>
        </w:rPr>
        <w:t>Upravljanje istraživačkim kapacitetima</w:t>
      </w:r>
      <w:r w:rsidRPr="00B943EA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B943EA">
        <w:rPr>
          <w:rFonts w:ascii="Times New Roman" w:hAnsi="Times New Roman"/>
          <w:sz w:val="24"/>
          <w:szCs w:val="24"/>
        </w:rPr>
        <w:t xml:space="preserve"> koji se ponajprije odnose sustavnu brigu i omogućavanje poticajnih uvjeta za znanstveno-istraživački rad. </w:t>
      </w:r>
    </w:p>
    <w:p w:rsidR="000C0E40" w:rsidRPr="00B943EA" w:rsidRDefault="000C0E40" w:rsidP="000C0E40">
      <w:pPr>
        <w:pStyle w:val="Odlomakpopisa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1141" w:rsidRPr="00B943EA" w:rsidRDefault="00901141" w:rsidP="00901141">
      <w:pPr>
        <w:pStyle w:val="Odlomakpopisa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i/>
          <w:iCs/>
          <w:sz w:val="24"/>
          <w:szCs w:val="24"/>
        </w:rPr>
        <w:t>Relizacija:</w:t>
      </w:r>
      <w:r w:rsidRPr="00B943EA">
        <w:rPr>
          <w:rFonts w:ascii="Times New Roman" w:hAnsi="Times New Roman"/>
          <w:sz w:val="24"/>
          <w:szCs w:val="24"/>
        </w:rPr>
        <w:t xml:space="preserve">Upravljanje istraživačkim kapacitetima </w:t>
      </w:r>
      <w:r w:rsidRPr="00B943EA">
        <w:rPr>
          <w:rFonts w:ascii="Times New Roman" w:hAnsi="Times New Roman"/>
          <w:iCs/>
          <w:sz w:val="24"/>
          <w:szCs w:val="24"/>
        </w:rPr>
        <w:t xml:space="preserve">znanstveno-nastavnog osoblja na Odjelu ogleda se u </w:t>
      </w:r>
      <w:r w:rsidRPr="00B943EA">
        <w:rPr>
          <w:rFonts w:ascii="Times New Roman" w:hAnsi="Times New Roman"/>
          <w:sz w:val="24"/>
          <w:szCs w:val="24"/>
        </w:rPr>
        <w:t>poticanju zaposlenika na postizanje akademskih stupnjeva  te napredovanje u znanstvenom radu</w:t>
      </w:r>
      <w:r w:rsidRPr="00B943EA">
        <w:rPr>
          <w:rFonts w:ascii="Times New Roman" w:hAnsi="Times New Roman"/>
          <w:iCs/>
          <w:sz w:val="24"/>
          <w:szCs w:val="24"/>
        </w:rPr>
        <w:t>. U tom smislu moguće je ustvrditi kako je</w:t>
      </w:r>
      <w:r w:rsidRPr="00B943EA">
        <w:rPr>
          <w:rFonts w:ascii="Times New Roman" w:hAnsi="Times New Roman"/>
          <w:b/>
          <w:iCs/>
          <w:sz w:val="24"/>
          <w:szCs w:val="24"/>
        </w:rPr>
        <w:t xml:space="preserve"> ostvarenje cilja definiranog u strategiji Odjela</w:t>
      </w:r>
      <w:r w:rsidRPr="00B943EA">
        <w:rPr>
          <w:rFonts w:ascii="Times New Roman" w:hAnsi="Times New Roman"/>
          <w:b/>
          <w:sz w:val="24"/>
          <w:szCs w:val="24"/>
        </w:rPr>
        <w:t xml:space="preserve"> za razdoblje 2011. – 2016. godine ispunjeno.</w:t>
      </w:r>
      <w:r w:rsidRPr="00B943EA">
        <w:rPr>
          <w:rFonts w:ascii="Times New Roman" w:hAnsi="Times New Roman"/>
          <w:sz w:val="24"/>
          <w:szCs w:val="24"/>
        </w:rPr>
        <w:t xml:space="preserve"> Naime, zaposlenici Odjela u znanstveno-nastavnom zvanju uz sudjelovanje u nekoliko različitih istraživačkih projekata na nacionalnoj i lokalnoj razini redovito publiciraju svoje znanstvene radove u različitim časopisima u zemlji i inozemstvu. Nastavnici Odjelapublicirali su samostalno ili u koautorstvu više knjiga u navedenom razdoblju. Tako je izv. prof. dr. sc. </w:t>
      </w:r>
      <w:r w:rsidRPr="00A16798">
        <w:rPr>
          <w:rFonts w:ascii="Times New Roman" w:hAnsi="Times New Roman"/>
          <w:sz w:val="24"/>
          <w:szCs w:val="24"/>
        </w:rPr>
        <w:t>Ivica Vigato</w:t>
      </w:r>
      <w:r w:rsidRPr="00B943EA">
        <w:rPr>
          <w:rFonts w:ascii="Times New Roman" w:hAnsi="Times New Roman"/>
          <w:sz w:val="24"/>
          <w:szCs w:val="24"/>
        </w:rPr>
        <w:t xml:space="preserve"> objavio dvije knjige. Prva knjiga naslova „Jezik i pismo najstarije sačuvane silbenske glagoljske matice krštenih“ tiskana je 2014. godine, a druga naslova „ Glagoljske oporuke sa sjeverozapadnih zadarskih otoka“ objavljena je 2017. godine. </w:t>
      </w:r>
    </w:p>
    <w:p w:rsidR="00901141" w:rsidRPr="00A16798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43EA">
        <w:rPr>
          <w:rFonts w:ascii="Times New Roman" w:hAnsi="Times New Roman"/>
          <w:sz w:val="24"/>
          <w:szCs w:val="24"/>
        </w:rPr>
        <w:t xml:space="preserve">Izv. prof. dr.sc. </w:t>
      </w:r>
      <w:r w:rsidRPr="00AA4752">
        <w:rPr>
          <w:rFonts w:ascii="Times New Roman" w:hAnsi="Times New Roman"/>
          <w:sz w:val="24"/>
          <w:szCs w:val="24"/>
        </w:rPr>
        <w:t>Teodora Vigato</w:t>
      </w:r>
      <w:r w:rsidRPr="00B943EA">
        <w:rPr>
          <w:rFonts w:ascii="Times New Roman" w:hAnsi="Times New Roman"/>
          <w:sz w:val="24"/>
          <w:szCs w:val="24"/>
        </w:rPr>
        <w:t xml:space="preserve"> objavila je tri knjige i to: „</w:t>
      </w:r>
      <w:r w:rsidRPr="00B943EA">
        <w:rPr>
          <w:rFonts w:ascii="Times New Roman" w:eastAsia="Times New Roman" w:hAnsi="Times New Roman"/>
          <w:kern w:val="36"/>
          <w:sz w:val="24"/>
          <w:szCs w:val="24"/>
          <w:lang w:eastAsia="hr-HR"/>
        </w:rPr>
        <w:t>Svi zadarski ginjoli - Prilozi za povijest Kazališta lutaka Zadar“ (2011), „Metodički pristupi scenskoj kulturi“ (2011), „</w:t>
      </w:r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>Mile Gatara i zadarsko lutkarstvo“ (2015), a iščekuje se tiskanje i četvrta knjige naslova „Poetski putevi zadarskog lutkarstva“.</w:t>
      </w:r>
      <w:r w:rsidRPr="00B943EA">
        <w:rPr>
          <w:rFonts w:ascii="Times New Roman" w:hAnsi="Times New Roman"/>
          <w:sz w:val="24"/>
          <w:szCs w:val="24"/>
        </w:rPr>
        <w:t xml:space="preserve">Izv. prof. dr.sc. </w:t>
      </w:r>
      <w:r w:rsidRPr="00AA4752">
        <w:rPr>
          <w:rFonts w:ascii="Times New Roman" w:eastAsia="Times New Roman" w:hAnsi="Times New Roman"/>
          <w:sz w:val="24"/>
          <w:szCs w:val="24"/>
          <w:lang w:eastAsia="hr-HR"/>
        </w:rPr>
        <w:t>Smiljana Zrilić</w:t>
      </w:r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 xml:space="preserve"> objavila je 2011.godine priručnik naslova </w:t>
      </w:r>
      <w:r w:rsidRPr="008706EE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hyperlink r:id="rId11" w:tgtFrame="_blank" w:history="1">
        <w:r w:rsidRPr="008706EE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Djeca posebnim potrebama u vrtiću i nižim razredima osnovne škole</w:t>
        </w:r>
      </w:hyperlink>
      <w:r w:rsidR="00A16798">
        <w:rPr>
          <w:rFonts w:ascii="Times New Roman" w:hAnsi="Times New Roman"/>
          <w:sz w:val="24"/>
          <w:szCs w:val="24"/>
        </w:rPr>
        <w:t>“</w:t>
      </w:r>
      <w:r w:rsidRPr="00B943EA">
        <w:rPr>
          <w:rFonts w:ascii="Times New Roman" w:hAnsi="Times New Roman"/>
          <w:sz w:val="24"/>
          <w:szCs w:val="24"/>
        </w:rPr>
        <w:t>.</w:t>
      </w:r>
      <w:r w:rsidR="00A16798">
        <w:rPr>
          <w:rFonts w:ascii="Times New Roman" w:hAnsi="Times New Roman"/>
          <w:sz w:val="24"/>
          <w:szCs w:val="24"/>
        </w:rPr>
        <w:t xml:space="preserve"> </w:t>
      </w:r>
      <w:r w:rsidRPr="00A16798">
        <w:rPr>
          <w:rFonts w:ascii="Times New Roman" w:hAnsi="Times New Roman"/>
          <w:sz w:val="24"/>
          <w:szCs w:val="24"/>
        </w:rPr>
        <w:t>Godine 2013. tiskano je drugo neizmijenjeno izdanje.</w:t>
      </w:r>
    </w:p>
    <w:p w:rsidR="00901141" w:rsidRPr="00B943EA" w:rsidRDefault="00901141" w:rsidP="0090114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 xml:space="preserve">Nastavnici u znanstveno-nastavnom zvanju prema podacima dostupnim u CROSBI-ju objavili su ukupno </w:t>
      </w:r>
      <w:r w:rsidRPr="00A16798">
        <w:rPr>
          <w:rFonts w:ascii="Times New Roman" w:eastAsia="Times New Roman" w:hAnsi="Times New Roman"/>
          <w:sz w:val="24"/>
          <w:szCs w:val="24"/>
          <w:lang w:eastAsia="hr-HR"/>
        </w:rPr>
        <w:t xml:space="preserve">123 zananstvena i/ili stručna rada. </w:t>
      </w:r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>U razdoblju 2011. - 2016. godine šest asistenata steklo je doktorat znanosti, a šestoro ih je napredovalo u znanstveno nastavno zvanje docenta.</w:t>
      </w:r>
    </w:p>
    <w:p w:rsidR="00901141" w:rsidRPr="00B943EA" w:rsidRDefault="00901141" w:rsidP="00901141">
      <w:pPr>
        <w:pStyle w:val="Odlomakpopisa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No, nastavnici su još uvijek u dobroj mjeri opterećeni administrativnim i birokratskim obvezama, a neki imaju nastavno opterećenje koje nije u skladu s propisanim pa je u tom smislu potrebno ulagati i daljnje napore u osiguravanje optimalnog broja nastavnika i suradnika.</w:t>
      </w:r>
    </w:p>
    <w:p w:rsidR="00901141" w:rsidRPr="00B943EA" w:rsidRDefault="00901141" w:rsidP="0090114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Organiziranje i sudjelovanje na znanstvenim i stručnim skupovima</w:t>
      </w:r>
    </w:p>
    <w:p w:rsidR="00901141" w:rsidRPr="00A16798" w:rsidRDefault="00901141" w:rsidP="0090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 xml:space="preserve">Odjel za izobrazbu učitelja i odgojitelja, također u suradnji s partnerima iz drugih institucija organizira </w:t>
      </w:r>
      <w:r w:rsidRPr="00B943EA">
        <w:rPr>
          <w:rFonts w:ascii="Times New Roman" w:hAnsi="Times New Roman"/>
          <w:b/>
          <w:sz w:val="24"/>
          <w:szCs w:val="24"/>
        </w:rPr>
        <w:t>znanstveno-stručne skupove</w:t>
      </w:r>
      <w:r>
        <w:rPr>
          <w:rFonts w:ascii="Times New Roman" w:hAnsi="Times New Roman"/>
          <w:sz w:val="24"/>
          <w:szCs w:val="24"/>
        </w:rPr>
        <w:t>. Četiri</w:t>
      </w:r>
      <w:r w:rsidRPr="00B943EA">
        <w:rPr>
          <w:rFonts w:ascii="Times New Roman" w:hAnsi="Times New Roman"/>
          <w:sz w:val="24"/>
          <w:szCs w:val="24"/>
        </w:rPr>
        <w:t xml:space="preserve"> međunarodna znanstveno-stručna  skupa organizirana su u razdoblju od 2011. - 2016. Tako je 2011. godine realiziran skup </w:t>
      </w:r>
      <w:r w:rsidRPr="00B943EA">
        <w:rPr>
          <w:rFonts w:ascii="Times New Roman" w:hAnsi="Times New Roman"/>
          <w:i/>
          <w:sz w:val="24"/>
          <w:szCs w:val="24"/>
        </w:rPr>
        <w:t>Dijete i estetski izričaji</w:t>
      </w:r>
      <w:r w:rsidRPr="00B943EA">
        <w:rPr>
          <w:rFonts w:ascii="Times New Roman" w:hAnsi="Times New Roman"/>
          <w:sz w:val="24"/>
          <w:szCs w:val="24"/>
        </w:rPr>
        <w:t>, 2013. Godine skup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3EA">
        <w:rPr>
          <w:rFonts w:ascii="Times New Roman" w:hAnsi="Times New Roman"/>
          <w:i/>
          <w:sz w:val="24"/>
          <w:szCs w:val="24"/>
        </w:rPr>
        <w:t>Stoljeća zadarskog školstva,</w:t>
      </w:r>
      <w:r w:rsidRPr="00B943EA">
        <w:rPr>
          <w:rFonts w:ascii="Times New Roman" w:hAnsi="Times New Roman"/>
          <w:sz w:val="24"/>
          <w:szCs w:val="24"/>
        </w:rPr>
        <w:t>te 2015. godine dva skupa Suvremeni pristupi odgoju i obrazovanju darovite djece i učenika i Reggio koncepcija u predškolskom odgoju i obrazovanju.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798">
        <w:rPr>
          <w:rFonts w:ascii="Times New Roman" w:hAnsi="Times New Roman"/>
          <w:sz w:val="24"/>
          <w:szCs w:val="24"/>
        </w:rPr>
        <w:t>Godine 2017. organiziran je znanstveno strucni skup s medunarodnim sudjelovanjem Identitet i razlicitost u odgoju i obrazovanju. Zbornik radova je u tisku.</w:t>
      </w:r>
    </w:p>
    <w:p w:rsidR="00901141" w:rsidRPr="00B943EA" w:rsidRDefault="00901141" w:rsidP="0090114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Nastavnici Odjela redovito sudjeluju na relevantnim znanstvenim skupovima, konferencijama, kongresima i okruglim stolovima u zemlji i inozemstvu (Hrvatska, Poljska, Italija, Slovenija, Mađarska, Grčka, Tajland, Srbija, Bosna i Hercegovina)gdje prezentiraju rezultate svog istraživačkog rada i aktivno se uključuju u komunikaciju zajednice istraživača u matičnom području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3EA">
        <w:rPr>
          <w:rFonts w:ascii="Times New Roman" w:hAnsi="Times New Roman"/>
          <w:sz w:val="24"/>
          <w:szCs w:val="24"/>
        </w:rPr>
        <w:t>(kroatistike, pedagogije, matematike, povijesti).</w:t>
      </w:r>
      <w:r w:rsidRPr="00B943EA">
        <w:rPr>
          <w:rFonts w:ascii="Times New Roman" w:hAnsi="Times New Roman"/>
          <w:sz w:val="24"/>
          <w:szCs w:val="24"/>
        </w:rPr>
        <w:tab/>
      </w:r>
    </w:p>
    <w:p w:rsidR="00901141" w:rsidRPr="00B943EA" w:rsidRDefault="00901141" w:rsidP="0090114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Razvoj izdavaštva</w:t>
      </w:r>
    </w:p>
    <w:p w:rsidR="00901141" w:rsidRPr="00B943EA" w:rsidRDefault="00901141" w:rsidP="00901141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01141" w:rsidRPr="00A16798" w:rsidRDefault="00901141" w:rsidP="0090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bCs/>
          <w:i/>
          <w:sz w:val="24"/>
          <w:szCs w:val="24"/>
        </w:rPr>
        <w:t>Realizacija:</w:t>
      </w:r>
      <w:r w:rsidRPr="00B943EA">
        <w:rPr>
          <w:rFonts w:ascii="Times New Roman" w:hAnsi="Times New Roman"/>
          <w:sz w:val="24"/>
          <w:szCs w:val="24"/>
        </w:rPr>
        <w:t xml:space="preserve">Važan dio u strategiji za navedeno razdoblje odnosio se na izdavačku djelatnost Odjela. Radovi sa skupa održanog 2011. godine tiskani su u zborniku radova </w:t>
      </w:r>
      <w:r w:rsidRPr="00B943EA">
        <w:rPr>
          <w:rFonts w:ascii="Times New Roman" w:hAnsi="Times New Roman"/>
          <w:b/>
          <w:sz w:val="24"/>
          <w:szCs w:val="24"/>
        </w:rPr>
        <w:t>naslova</w:t>
      </w:r>
      <w:r w:rsidRPr="00B943EA">
        <w:rPr>
          <w:rFonts w:ascii="Times New Roman" w:hAnsi="Times New Roman"/>
          <w:b/>
          <w:i/>
          <w:sz w:val="24"/>
          <w:szCs w:val="24"/>
        </w:rPr>
        <w:t xml:space="preserve"> Dijete i estetski izričaji</w:t>
      </w:r>
      <w:r w:rsidRPr="00B943EA">
        <w:rPr>
          <w:rFonts w:ascii="Times New Roman" w:hAnsi="Times New Roman"/>
          <w:i/>
          <w:sz w:val="24"/>
          <w:szCs w:val="24"/>
        </w:rPr>
        <w:t xml:space="preserve"> ,</w:t>
      </w:r>
      <w:r w:rsidRPr="00B943EA">
        <w:rPr>
          <w:rFonts w:ascii="Times New Roman" w:hAnsi="Times New Roman"/>
          <w:sz w:val="24"/>
          <w:szCs w:val="24"/>
        </w:rPr>
        <w:t xml:space="preserve"> a sa skupa održanog 2015. objedinjeni su i tiskani u zborniku radova naslova </w:t>
      </w:r>
      <w:r w:rsidRPr="00B943EA">
        <w:rPr>
          <w:rFonts w:ascii="Times New Roman" w:hAnsi="Times New Roman"/>
          <w:b/>
          <w:i/>
          <w:sz w:val="24"/>
          <w:szCs w:val="24"/>
        </w:rPr>
        <w:t>Suvremeni pristupi odgoju i obrazovanju darovite djece i učenika</w:t>
      </w:r>
      <w:r w:rsidRPr="00B943EA">
        <w:rPr>
          <w:rFonts w:ascii="Times New Roman" w:hAnsi="Times New Roman"/>
          <w:i/>
          <w:sz w:val="24"/>
          <w:szCs w:val="24"/>
        </w:rPr>
        <w:t xml:space="preserve">. </w:t>
      </w:r>
      <w:r w:rsidRPr="00A16798">
        <w:rPr>
          <w:rFonts w:ascii="Times New Roman" w:hAnsi="Times New Roman"/>
          <w:sz w:val="24"/>
          <w:szCs w:val="24"/>
        </w:rPr>
        <w:t xml:space="preserve">Zbornik radova sa znanstveno strucnog skupa  </w:t>
      </w:r>
      <w:r w:rsidRPr="00A16798">
        <w:rPr>
          <w:rFonts w:ascii="Times New Roman" w:hAnsi="Times New Roman"/>
          <w:i/>
          <w:sz w:val="24"/>
          <w:szCs w:val="24"/>
        </w:rPr>
        <w:t xml:space="preserve">Stoljeća zadarskog školstva </w:t>
      </w:r>
      <w:r w:rsidRPr="00A16798">
        <w:rPr>
          <w:rFonts w:ascii="Times New Roman" w:hAnsi="Times New Roman"/>
          <w:sz w:val="24"/>
          <w:szCs w:val="24"/>
        </w:rPr>
        <w:t>tiskan je pod naslovom. Zbornik radova sa znanstveno strucnog skupa Identitet i razlicitost u odgoju i obrazovanju, u postupku je tiskanja.</w:t>
      </w:r>
    </w:p>
    <w:p w:rsidR="00901141" w:rsidRPr="00B943EA" w:rsidRDefault="00901141" w:rsidP="009011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 xml:space="preserve">Izdavačka djelatnost Odjela nije usmjerena isključivo na objavljivanje zbornika radova, nego je permanentna budući Odjel redovito izdaje znanstveni časopis </w:t>
      </w:r>
      <w:r w:rsidRPr="00B943EA">
        <w:rPr>
          <w:rFonts w:ascii="Times New Roman" w:hAnsi="Times New Roman"/>
          <w:b/>
          <w:i/>
          <w:sz w:val="24"/>
          <w:szCs w:val="24"/>
        </w:rPr>
        <w:t>Magistra Iadertina</w:t>
      </w:r>
      <w:r w:rsidRPr="00B943EA">
        <w:rPr>
          <w:rFonts w:ascii="Times New Roman" w:hAnsi="Times New Roman"/>
          <w:sz w:val="24"/>
          <w:szCs w:val="24"/>
        </w:rPr>
        <w:t xml:space="preserve"> koji pod tim nazivom i u skladu s izdavačkom politikom Sveučilišta u Zadru izlazi od 2006 godine. Časopis objavljuje dospjele radove jednom godišnje, a od 2011. Do danas objavljeno je šest  brojeva  (Vol. 6, Vol.7,  Vol. 8., Vol. 9, Vol. 10 i Vol. 11).</w:t>
      </w:r>
    </w:p>
    <w:p w:rsidR="00901141" w:rsidRPr="00B943EA" w:rsidRDefault="00901141" w:rsidP="00901141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3.  Razvoj ljudskih resursa i organizacijskog ustroja</w:t>
      </w:r>
    </w:p>
    <w:p w:rsidR="00901141" w:rsidRPr="00B943EA" w:rsidRDefault="00901141" w:rsidP="00901141">
      <w:pPr>
        <w:pStyle w:val="ListParagraph"/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901141" w:rsidRPr="00B943EA" w:rsidRDefault="00901141" w:rsidP="00901141">
      <w:pPr>
        <w:pStyle w:val="ListParagraph"/>
        <w:numPr>
          <w:ilvl w:val="0"/>
          <w:numId w:val="21"/>
        </w:numPr>
        <w:tabs>
          <w:tab w:val="left" w:pos="262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Razvoj infrastrukture, ljudskih resursa i usluga studentima</w:t>
      </w: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01141" w:rsidRPr="00B943EA" w:rsidRDefault="00901141" w:rsidP="00A16798">
      <w:pPr>
        <w:tabs>
          <w:tab w:val="left" w:pos="2625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 xml:space="preserve">Realizacija: </w:t>
      </w:r>
      <w:r w:rsidRPr="00B943EA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pitanju unaprijeđenja kvalitete</w:t>
      </w:r>
      <w:r w:rsidRPr="00B943EA">
        <w:rPr>
          <w:rFonts w:ascii="Times New Roman" w:hAnsi="Times New Roman"/>
          <w:sz w:val="24"/>
          <w:szCs w:val="24"/>
        </w:rPr>
        <w:t xml:space="preserve"> u infrastrukturi nisu se dogodili bitniji pomaci. Odjel za realizaciju nastave još uvijek na raspolaganju ima pet predavaonica, od kojih je jednaka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3EA">
        <w:rPr>
          <w:rFonts w:ascii="Times New Roman" w:hAnsi="Times New Roman"/>
          <w:sz w:val="24"/>
          <w:szCs w:val="24"/>
        </w:rPr>
        <w:t>paciteta 60 mjes</w:t>
      </w:r>
      <w:r>
        <w:rPr>
          <w:rFonts w:ascii="Times New Roman" w:hAnsi="Times New Roman"/>
          <w:sz w:val="24"/>
          <w:szCs w:val="24"/>
        </w:rPr>
        <w:t xml:space="preserve">ta, dok su ostale kapaciteta </w:t>
      </w:r>
      <w:r w:rsidRPr="00A16798">
        <w:rPr>
          <w:rFonts w:ascii="Times New Roman" w:hAnsi="Times New Roman"/>
          <w:sz w:val="24"/>
          <w:szCs w:val="24"/>
        </w:rPr>
        <w:t>oko</w:t>
      </w:r>
      <w:r w:rsidRPr="00B943EA">
        <w:rPr>
          <w:rFonts w:ascii="Times New Roman" w:hAnsi="Times New Roman"/>
          <w:sz w:val="24"/>
          <w:szCs w:val="24"/>
        </w:rPr>
        <w:t xml:space="preserve"> 30 mjesta. Za realizaciju nastave informatike koristi se informatička učionica u zgradi Novog kampusa koju koriste i drugi Odjeli. Rashladni uređaji nisu instalirani, kako je planirano, u sve predavaonice i kabinete nastavnika zbog objektivnih razloga. Stoga se svakako u narednom razdoblju treba usmjeriti na rješavanje i ove zadaće. Dakle klimatiziranje ureda i predavaonica koje nisu opremljene, ali i eventualna zamjena klima uređaja u predavaonicama koje je posjeduju (klime su stare više od 15 godina) jedna je od zadaća koje trebao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3EA">
        <w:rPr>
          <w:rFonts w:ascii="Times New Roman" w:hAnsi="Times New Roman"/>
          <w:sz w:val="24"/>
          <w:szCs w:val="24"/>
        </w:rPr>
        <w:t>stvariti u narednom razdoblju.</w:t>
      </w:r>
    </w:p>
    <w:p w:rsidR="00901141" w:rsidRPr="00A16798" w:rsidRDefault="00901141" w:rsidP="00901141">
      <w:pPr>
        <w:tabs>
          <w:tab w:val="left" w:pos="2625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6798">
        <w:rPr>
          <w:rFonts w:ascii="Times New Roman" w:hAnsi="Times New Roman"/>
          <w:sz w:val="24"/>
          <w:szCs w:val="24"/>
        </w:rPr>
        <w:t>Problemi su prisutni i u realizaciji administrativnih i tajnickih poslova. Naime Tajništvo Odjela djeluje u zajedničkom prostoru s Tajništvom Odjela za Turizam i komunikacijske znanosti što svakako otežava njegovo funkcioniranje, te pružanje kvalitetne usluge studentima i nastavnicima Odjela. Uvođenjem novih studijskih programa povećan je i broj studenata pa djelatnice Tajništva rade u neadekvatnim i otezanim uvjetima. Velik obim poslova donekle je privremeno rijesen zaposljavanjem jedne djelatnice iz sredstava Odjela, na odredeno vrijeme. Svakako treba izna</w:t>
      </w:r>
      <w:r w:rsidR="00A16798">
        <w:rPr>
          <w:rFonts w:ascii="Times New Roman" w:hAnsi="Times New Roman"/>
          <w:sz w:val="24"/>
          <w:szCs w:val="24"/>
        </w:rPr>
        <w:t>ć</w:t>
      </w:r>
      <w:r w:rsidRPr="00A16798">
        <w:rPr>
          <w:rFonts w:ascii="Times New Roman" w:hAnsi="Times New Roman"/>
          <w:sz w:val="24"/>
          <w:szCs w:val="24"/>
        </w:rPr>
        <w:t>i trajno rje</w:t>
      </w:r>
      <w:r w:rsidR="00A16798">
        <w:rPr>
          <w:rFonts w:ascii="Times New Roman" w:hAnsi="Times New Roman"/>
          <w:sz w:val="24"/>
          <w:szCs w:val="24"/>
        </w:rPr>
        <w:t>š</w:t>
      </w:r>
      <w:r w:rsidRPr="00A16798">
        <w:rPr>
          <w:rFonts w:ascii="Times New Roman" w:hAnsi="Times New Roman"/>
          <w:sz w:val="24"/>
          <w:szCs w:val="24"/>
        </w:rPr>
        <w:t>enje, k</w:t>
      </w:r>
      <w:r w:rsidR="00A16798">
        <w:rPr>
          <w:rFonts w:ascii="Times New Roman" w:hAnsi="Times New Roman"/>
          <w:sz w:val="24"/>
          <w:szCs w:val="24"/>
        </w:rPr>
        <w:t>ako kadrovsko, tako i prostorno-</w:t>
      </w:r>
      <w:r w:rsidRPr="00A16798">
        <w:rPr>
          <w:rFonts w:ascii="Times New Roman" w:hAnsi="Times New Roman"/>
          <w:sz w:val="24"/>
          <w:szCs w:val="24"/>
        </w:rPr>
        <w:t>materijalno.</w:t>
      </w:r>
    </w:p>
    <w:p w:rsidR="00901141" w:rsidRPr="00B943EA" w:rsidRDefault="00901141" w:rsidP="00A16798">
      <w:pPr>
        <w:tabs>
          <w:tab w:val="left" w:pos="2625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Uredi nastavnika opremljeni su relativno dobro, namještajem i informatičkom opremom, a konzultativna nastava i komunikacija sa studentima teče neometano prema individualnim terminima koje nastavnici objavljuju. Za sve informacije studentima izvanrednih studijskih grupa nastavnici su dostupni putem telefona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3EA">
        <w:rPr>
          <w:rFonts w:ascii="Times New Roman" w:hAnsi="Times New Roman"/>
          <w:sz w:val="24"/>
          <w:szCs w:val="24"/>
        </w:rPr>
        <w:t xml:space="preserve">elektronske pošte. </w:t>
      </w:r>
    </w:p>
    <w:p w:rsidR="00901141" w:rsidRPr="00B943EA" w:rsidRDefault="00901141" w:rsidP="00901141">
      <w:pPr>
        <w:tabs>
          <w:tab w:val="left" w:pos="2625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Knjižnični fond u koji Odjel ulaže sredstva (knjige, priručnici, časopisi) dostupni su studentima u prostoru knjižnice Sveučilišta.</w:t>
      </w:r>
    </w:p>
    <w:p w:rsidR="00901141" w:rsidRPr="00B943EA" w:rsidRDefault="00901141" w:rsidP="00901141">
      <w:pPr>
        <w:pStyle w:val="ListParagraph"/>
        <w:numPr>
          <w:ilvl w:val="0"/>
          <w:numId w:val="22"/>
        </w:num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Jačanje suradničkog djelovanja</w:t>
      </w:r>
    </w:p>
    <w:p w:rsidR="00901141" w:rsidRPr="00B943EA" w:rsidRDefault="00901141" w:rsidP="00901141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Realizacija:</w:t>
      </w:r>
      <w:r w:rsidRPr="00B943EA">
        <w:rPr>
          <w:rFonts w:ascii="Times New Roman" w:hAnsi="Times New Roman"/>
          <w:sz w:val="24"/>
          <w:szCs w:val="24"/>
        </w:rPr>
        <w:t>Poticanje suradničkog djelovanja među nastavnicima Odjela je zadaća koja je u velikoj mjeri ostvarena. Nastavnici zajedno objavljuju znanstvene i stručne članke, te izlažu na znanstvenim konferencijama i skupovima. Zajedniči rad i suradnja ogleda se i u mentorskom i komentorskomradu pri pružanju pomoći studentima u izradi završnih i diplomskih radova. Suradničko djelovanje vidljivo je i pri realizaciji zajedničkih, studijskih putovanja, posjeta izložbama, sajmovima i različitim odgojno-obrazovnim institucijama u zemlji i inozemstvu.</w:t>
      </w:r>
    </w:p>
    <w:p w:rsidR="00901141" w:rsidRPr="00B943EA" w:rsidRDefault="00901141" w:rsidP="00901141">
      <w:pPr>
        <w:pStyle w:val="ListParagraph"/>
        <w:numPr>
          <w:ilvl w:val="0"/>
          <w:numId w:val="23"/>
        </w:num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Promicanje mobilnosti osoblja i studenata</w:t>
      </w: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Realizacija:</w:t>
      </w:r>
      <w:r w:rsidRPr="00B943EA">
        <w:rPr>
          <w:rFonts w:ascii="Times New Roman" w:hAnsi="Times New Roman"/>
          <w:sz w:val="24"/>
          <w:szCs w:val="24"/>
        </w:rPr>
        <w:t xml:space="preserve">Poticanje na mobilnost nastavnika Odjela rezultirala je iznimno velikim brojem ostvarenih predavanja i stručnih usavršavanja u inozemnim institucijama. Nastavnici Odjela bili su u okviru programa Erasmus i Erasmus + na učiteljskim fakultetima u Irskoj, Portugalu, Španjolskoj, Poljskoj, Latviji, Finskoj, Mađarskoj i Austriji. </w:t>
      </w: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 xml:space="preserve">U okviru navedenih programa na Odjelu su stručno usavršavanje i predavanje za studentei nastavnike ostvarilinastavnici izIrske, Portugala, Litve, Latvije, Finske, Mađarske, Njemačke, Belgije, Nizozemske, Turske i brojnih drugih zemalja. </w:t>
      </w: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Razmjena studenata u okviru programa mobilnosti u smislu izvođenja nastave sa studentima koji dolaze iz drugih zemalja na Odjel je izuzetno dobra i uspješna. Velik broj nastavnika izvodi nastavu iz svog područja na engleskom jeziku, a studenti uz nastavu koju prate na odjelu često dolaze i na stručno usavršavanje te ih se upućuje i na rad u školama i vrtićima koje su vježbaonice Odjela odnosno Sveučilišta. Najučestalije na Odjel u razmjenu dolaze studenti iz Belgije, Mađarske, Španjolske, Njemačke, Turske i Irske.</w:t>
      </w: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Mobilnost se potiče i među studentima Odjela za izobrazbu učitelja i odgojitelja. Na samom početku odaziv i odlazak studenata na mobilnost je bio prilično slab, no u novije vrijeme i taj trend se mijenja. Koordinatorica za mobilnost na Odjelu u suradnji s Uredom za mobilnost daje iscrpne informacije i priprema odlazak studenata što je, kako je već istaknuto, povećalo interes za programima mobilnosti. Studenti odjela tako su boravili u okviru programa Erasmus + na učiteljskim fakultetima u Njemačkoj, Irsko</w:t>
      </w:r>
      <w:r>
        <w:rPr>
          <w:rFonts w:ascii="Times New Roman" w:hAnsi="Times New Roman"/>
          <w:sz w:val="24"/>
          <w:szCs w:val="24"/>
        </w:rPr>
        <w:t>j i Španjolskoj.</w:t>
      </w:r>
    </w:p>
    <w:p w:rsidR="00901141" w:rsidRPr="00B943EA" w:rsidRDefault="00901141" w:rsidP="00901141">
      <w:pPr>
        <w:pStyle w:val="ListParagraph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1141" w:rsidRPr="00B943EA" w:rsidRDefault="00901141" w:rsidP="00901141">
      <w:pPr>
        <w:pStyle w:val="ListParagraph"/>
        <w:numPr>
          <w:ilvl w:val="0"/>
          <w:numId w:val="24"/>
        </w:num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 xml:space="preserve">Promicanje transparentnosti i javnosti informacija </w:t>
      </w:r>
    </w:p>
    <w:p w:rsidR="00901141" w:rsidRPr="00B943EA" w:rsidRDefault="00901141" w:rsidP="00901141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Realizacija:</w:t>
      </w:r>
      <w:r w:rsidRPr="00B943EA">
        <w:rPr>
          <w:rFonts w:ascii="Times New Roman" w:hAnsi="Times New Roman"/>
          <w:sz w:val="24"/>
          <w:szCs w:val="24"/>
        </w:rPr>
        <w:t>Sve informacije o ustroju, vizja, misija, strategija, dokumenti i pravilnici, studijski i izvedbeniprogrami, informacije o nastavnicima i suradnicima Odjela,  dostupne su u skladu sa zakonom i propisima na Stranicama Odjela. Obavijesti o upisima, znanstveno-stručnim skupovima, završnim radovima i izdavačkim aktivnostima Odjela dostupni su na Web stranici i uredno se ažuriraju.</w:t>
      </w:r>
    </w:p>
    <w:p w:rsidR="00901141" w:rsidRPr="00B943EA" w:rsidRDefault="00901141" w:rsidP="00901141">
      <w:pPr>
        <w:pStyle w:val="ListParagraph"/>
        <w:numPr>
          <w:ilvl w:val="0"/>
          <w:numId w:val="24"/>
        </w:num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Promicanje studentskih prava</w:t>
      </w:r>
    </w:p>
    <w:p w:rsidR="00901141" w:rsidRPr="00B943EA" w:rsidRDefault="00901141" w:rsidP="00A16798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 xml:space="preserve">Realizacija: </w:t>
      </w:r>
      <w:r w:rsidRPr="00B943EA">
        <w:rPr>
          <w:rFonts w:ascii="Times New Roman" w:hAnsi="Times New Roman"/>
          <w:sz w:val="24"/>
          <w:szCs w:val="24"/>
        </w:rPr>
        <w:t>Dobra komunikacija sa studentima i ostvarenje njihovih prava na Odjelu je tradicionalno dobra. Studenti su uključeni u rad Vijeća Odjela, te redovito i aktivno sudjeluju u njegovom radu. Studenti su uključeni u sve aktivnosti Odjela; organizacijuznanstvenih skupova, realizaciju projekata u zemlji i inozemstvu, a djelatnici Odjela pomažu studentima u organizaciji studentskih ekskurzija i putovanja, te različitih edukativnih posjeta kulturnim institucijama i odgojno-obrazovnim ustanovama.</w:t>
      </w:r>
    </w:p>
    <w:p w:rsidR="00901141" w:rsidRPr="00B943EA" w:rsidRDefault="00901141" w:rsidP="00901141">
      <w:pPr>
        <w:tabs>
          <w:tab w:val="left" w:pos="2625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943EA">
        <w:rPr>
          <w:rFonts w:ascii="Times New Roman" w:hAnsi="Times New Roman"/>
          <w:b/>
          <w:sz w:val="24"/>
          <w:szCs w:val="24"/>
        </w:rPr>
        <w:t>4. Osiguravanje kvalitete na Odjelu</w:t>
      </w:r>
    </w:p>
    <w:p w:rsidR="00901141" w:rsidRPr="009A485F" w:rsidRDefault="00901141" w:rsidP="0090114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43EA">
        <w:rPr>
          <w:rStyle w:val="apple-style-span"/>
          <w:rFonts w:ascii="Times New Roman" w:hAnsi="Times New Roman"/>
          <w:b/>
          <w:sz w:val="24"/>
          <w:szCs w:val="24"/>
        </w:rPr>
        <w:t>Realizacija:</w:t>
      </w:r>
      <w:r w:rsidRPr="00B943EA">
        <w:rPr>
          <w:rStyle w:val="apple-style-span"/>
          <w:rFonts w:ascii="Times New Roman" w:hAnsi="Times New Roman"/>
          <w:sz w:val="24"/>
          <w:szCs w:val="24"/>
        </w:rPr>
        <w:t xml:space="preserve"> Osiguranje kvalitete na Odjelu za izobrazbu učitelja i odgojitelja Povjerenstvo za osiguranje kvalitete. Povjerenstvo je sačinjeno od sedam članova od kojih je pet nastavnika s Odjela, vanjski predstavnik, te predstavnik studenata. Povjerenstvo djeluje na temelju donesenih dokumenata.</w:t>
      </w:r>
      <w:hyperlink r:id="rId12" w:history="1">
        <w:r w:rsidRPr="00B943EA">
          <w:rPr>
            <w:rFonts w:ascii="Times New Roman" w:eastAsia="Times New Roman" w:hAnsi="Times New Roman"/>
            <w:bCs/>
            <w:sz w:val="24"/>
            <w:szCs w:val="24"/>
            <w:lang w:eastAsia="hr-HR"/>
          </w:rPr>
          <w:t>Priručnika za osiguravanje i unaprjeđivanje kvalitete</w:t>
        </w:r>
      </w:hyperlink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 xml:space="preserve"> Odjela za izobrazbu učitelja i odgojitelja Sveučilišta u Zadru, </w:t>
      </w:r>
      <w:hyperlink r:id="rId13" w:history="1">
        <w:r w:rsidRPr="00B943EA">
          <w:rPr>
            <w:rFonts w:ascii="Times New Roman" w:eastAsia="Times New Roman" w:hAnsi="Times New Roman"/>
            <w:bCs/>
            <w:sz w:val="24"/>
            <w:szCs w:val="24"/>
            <w:lang w:eastAsia="hr-HR"/>
          </w:rPr>
          <w:t>Poslovnik</w:t>
        </w:r>
      </w:hyperlink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 xml:space="preserve">a povjerenstva za osiguravanje i unapređivanje kvalitete, </w:t>
      </w:r>
      <w:hyperlink r:id="rId14" w:history="1">
        <w:r w:rsidRPr="00B943EA">
          <w:rPr>
            <w:rFonts w:ascii="Times New Roman" w:eastAsia="Times New Roman" w:hAnsi="Times New Roman"/>
            <w:bCs/>
            <w:sz w:val="24"/>
            <w:szCs w:val="24"/>
            <w:lang w:eastAsia="hr-HR"/>
          </w:rPr>
          <w:t>Pravilnik</w:t>
        </w:r>
      </w:hyperlink>
      <w:r w:rsidRPr="00B943EA">
        <w:rPr>
          <w:rFonts w:ascii="Times New Roman" w:eastAsia="Times New Roman" w:hAnsi="Times New Roman"/>
          <w:sz w:val="24"/>
          <w:szCs w:val="24"/>
          <w:lang w:eastAsia="hr-HR"/>
        </w:rPr>
        <w:t>a za Osiguravanje i unaprjeđivanje kvalitete.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943EA">
        <w:rPr>
          <w:rFonts w:ascii="Times New Roman" w:hAnsi="Times New Roman"/>
          <w:sz w:val="24"/>
          <w:szCs w:val="24"/>
          <w:u w:val="single"/>
        </w:rPr>
        <w:t>Slabosti koje su otklonjene u razdoblju 2011.-2016.Godine</w:t>
      </w:r>
    </w:p>
    <w:p w:rsidR="000C0E40" w:rsidRPr="00B943EA" w:rsidRDefault="000C0E40" w:rsidP="000C0E40">
      <w:pPr>
        <w:autoSpaceDE w:val="0"/>
        <w:autoSpaceDN w:val="0"/>
        <w:adjustRightInd w:val="0"/>
        <w:spacing w:after="0" w:line="360" w:lineRule="auto"/>
        <w:jc w:val="center"/>
        <w:rPr>
          <w:rStyle w:val="apple-style-span"/>
          <w:rFonts w:ascii="Times New Roman" w:hAnsi="Times New Roman"/>
          <w:sz w:val="24"/>
          <w:szCs w:val="24"/>
          <w:u w:val="single"/>
        </w:rPr>
      </w:pPr>
    </w:p>
    <w:p w:rsidR="000C0E40" w:rsidRPr="00B943EA" w:rsidRDefault="000C0E40" w:rsidP="000C0E40">
      <w:pPr>
        <w:pStyle w:val="ListParagraph"/>
        <w:numPr>
          <w:ilvl w:val="0"/>
          <w:numId w:val="24"/>
        </w:numPr>
        <w:tabs>
          <w:tab w:val="left" w:pos="2625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Neravnomjerna zastupljenost pojedinih područja u studijskom programu za izobrazbu učitelja u odnosu na zastupljenost istih područja u nastavnom programu u nižim razredima osnovne škole otklonjenja je revizijom postojećeg programa na Integritanom preddiplomskom sveučilišnom studiju za učitelje koji je u drugoj godini realizacije</w:t>
      </w:r>
    </w:p>
    <w:p w:rsidR="000C0E40" w:rsidRPr="00B943EA" w:rsidRDefault="000C0E40" w:rsidP="000C0E40">
      <w:pPr>
        <w:pStyle w:val="ListParagraph"/>
        <w:numPr>
          <w:ilvl w:val="0"/>
          <w:numId w:val="24"/>
        </w:numPr>
        <w:tabs>
          <w:tab w:val="left" w:pos="2625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color w:val="000000" w:themeColor="text1"/>
          <w:sz w:val="24"/>
          <w:szCs w:val="24"/>
        </w:rPr>
        <w:t xml:space="preserve">Mali broj nastavnika u znanstveno-nastavnom zvanju otklonjen je izborom u znanstveno-nastavno zvanje docenta skoro svih asistenata i viših asistenata, te </w:t>
      </w:r>
      <w:r w:rsidRPr="00B943EA">
        <w:rPr>
          <w:rFonts w:ascii="Times New Roman" w:hAnsi="Times New Roman"/>
          <w:sz w:val="24"/>
          <w:szCs w:val="24"/>
        </w:rPr>
        <w:t>zapošljavanjem novih djelatnika u zvanje docenta.</w:t>
      </w:r>
    </w:p>
    <w:p w:rsidR="000C0E40" w:rsidRPr="00B943EA" w:rsidRDefault="000C0E40" w:rsidP="000C0E40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Obim posla u tajništvu i nedovoljno administrativnog osoblja, djelomično je otklonjen zapošljvanjem jedne osobe u tajništvu na određeno vrijeme.</w:t>
      </w:r>
    </w:p>
    <w:p w:rsidR="000C0E40" w:rsidRPr="00B943EA" w:rsidRDefault="000C0E40" w:rsidP="000C0E40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Slaba mobilnost nastavnika istudenata otklonjena je poticanjem na mobilnost i potpisivanjem novih ugovora o suradnji, te napose uključivanjem u mrežu učiteljskih fakulteta Kastalia.</w:t>
      </w:r>
    </w:p>
    <w:p w:rsidR="000C0E40" w:rsidRPr="00B943EA" w:rsidRDefault="000C0E40" w:rsidP="000C0E40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943EA">
        <w:rPr>
          <w:rFonts w:ascii="Times New Roman" w:hAnsi="Times New Roman"/>
          <w:sz w:val="24"/>
          <w:szCs w:val="24"/>
          <w:u w:val="single"/>
        </w:rPr>
        <w:t>Slabosti koje su detektirane, a nisu otklonjeneu razdoblju 2011. - 2016. godine</w:t>
      </w:r>
    </w:p>
    <w:p w:rsidR="000C0E40" w:rsidRPr="00B943EA" w:rsidRDefault="000C0E40" w:rsidP="000C0E4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FF6600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Česta izmjena mentora i variranje njihova broja ne pridonosi stabilnosti i kvaliteti njihova rada sa studentima. To dijelom pripisujemo neredovitosti dostavljanja materijalnih sredstava od Ministarstva za honoriranje mentorstva, ali i neadekvatnim koeficijentom definiranim kolektivnim ugovorom za zvanja mentora i savjetnika.</w:t>
      </w:r>
    </w:p>
    <w:p w:rsidR="000C0E40" w:rsidRPr="00B943EA" w:rsidRDefault="000C0E40" w:rsidP="000C0E4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FF6600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Ovu slabost teže je otkloniti budući ne ovisi isključivo o aktivnostima i stavu Odjela.</w:t>
      </w:r>
    </w:p>
    <w:p w:rsidR="000C0E40" w:rsidRPr="00B943EA" w:rsidRDefault="000C0E40" w:rsidP="000C0E4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Neujednačeni kriteriji procjenjivanja znanja i ocjenjivanja studenata u različitim kolegijima.</w:t>
      </w:r>
    </w:p>
    <w:p w:rsidR="000C0E40" w:rsidRPr="00B943EA" w:rsidRDefault="000C0E40" w:rsidP="000C0E4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 xml:space="preserve">Ključni nedostatak realizacije zacrtane strategije je veliko opterećenje u izvođenju nastave koje rezultira nemogućnošću većeg angažiranja na polju znanstvenog istraživanja, a isto tako i zapošljavanjem novih djelatnika. </w:t>
      </w:r>
    </w:p>
    <w:p w:rsidR="000C0E40" w:rsidRPr="00B943EA" w:rsidRDefault="000C0E40" w:rsidP="000C0E4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Nedostatak prostora</w:t>
      </w:r>
    </w:p>
    <w:p w:rsidR="000C0E40" w:rsidRPr="00B943EA" w:rsidRDefault="000C0E40" w:rsidP="000C0E40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3EA">
        <w:rPr>
          <w:rFonts w:ascii="Times New Roman" w:hAnsi="Times New Roman"/>
          <w:sz w:val="24"/>
          <w:szCs w:val="24"/>
        </w:rPr>
        <w:t>Nepostojanje vježbaonice u sastavu Sveučilišta.</w:t>
      </w:r>
    </w:p>
    <w:p w:rsidR="000C0E40" w:rsidRDefault="000C0E40" w:rsidP="0032019D">
      <w:pPr>
        <w:tabs>
          <w:tab w:val="left" w:pos="2625"/>
        </w:tabs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B943EA">
        <w:rPr>
          <w:rStyle w:val="apple-style-span"/>
          <w:rFonts w:ascii="Times New Roman" w:hAnsi="Times New Roman"/>
          <w:sz w:val="24"/>
          <w:szCs w:val="24"/>
        </w:rPr>
        <w:t xml:space="preserve">Analiza navedenih točaka Strategiji Odjela za razdoblje 2011. – 2016. godine pokazuje kako je u navedenom razdoblju realiziran veliki dio planiranih zadataka, te se veliki dio dotadašnjih slabih strateških točaka otklonio. Analizom je također utvrđeno koji dio zadaća iz Strategije nije realiziran i potrebno ih je </w:t>
      </w:r>
      <w:r w:rsidR="0032019D">
        <w:rPr>
          <w:rStyle w:val="apple-style-span"/>
          <w:rFonts w:ascii="Times New Roman" w:hAnsi="Times New Roman"/>
          <w:sz w:val="24"/>
          <w:szCs w:val="24"/>
        </w:rPr>
        <w:t>ostvariti u narednom razdoblju.</w:t>
      </w:r>
    </w:p>
    <w:p w:rsidR="0032019D" w:rsidRDefault="0032019D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6798" w:rsidRPr="0032019D" w:rsidRDefault="00A16798" w:rsidP="0032019D">
      <w:pPr>
        <w:tabs>
          <w:tab w:val="left" w:pos="262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63D1" w:rsidRDefault="005463D1" w:rsidP="005463D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 </w:t>
      </w:r>
      <w:r w:rsidRPr="005463D1">
        <w:rPr>
          <w:rFonts w:ascii="Times New Roman" w:hAnsi="Times New Roman" w:cs="Times New Roman"/>
          <w:b/>
          <w:sz w:val="24"/>
          <w:szCs w:val="24"/>
        </w:rPr>
        <w:t>Analiza upisa na studijske programe koji se izvode na Odjelu</w:t>
      </w:r>
    </w:p>
    <w:p w:rsidR="005463D1" w:rsidRPr="00A21562" w:rsidRDefault="005463D1" w:rsidP="00A21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562">
        <w:rPr>
          <w:rFonts w:ascii="Times New Roman" w:hAnsi="Times New Roman" w:cs="Times New Roman"/>
          <w:sz w:val="24"/>
          <w:szCs w:val="24"/>
        </w:rPr>
        <w:t>Pregled upisa na preddiplomske studije ranog i predškolskog odgoja i obrazovanja na javnim sveučilištima u Republici Hrvatskoj u razdoblju od akademske godine 2013/14 do 2016/17</w:t>
      </w:r>
    </w:p>
    <w:p w:rsidR="005463D1" w:rsidRPr="00A21562" w:rsidRDefault="005463D1" w:rsidP="00A215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562">
        <w:rPr>
          <w:rFonts w:ascii="Times New Roman" w:hAnsi="Times New Roman" w:cs="Times New Roman"/>
          <w:sz w:val="24"/>
          <w:szCs w:val="24"/>
        </w:rPr>
        <w:t>2016/17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173"/>
        <w:gridCol w:w="1174"/>
        <w:gridCol w:w="1174"/>
        <w:gridCol w:w="1174"/>
        <w:gridCol w:w="1174"/>
        <w:gridCol w:w="1277"/>
        <w:gridCol w:w="1174"/>
      </w:tblGrid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80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Odjel za izobrazbu učitelja i odgojitelja Sveučilišta u Zadru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Petrinja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Rijeci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Rijeka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184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Sveučilište Juraj Strossmayer u Osijeku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Filozofski fakultet Sveučilišta u Splitu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61,84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62,03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63,81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62,95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60,77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61,95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A21562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A21562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A21562" w:rsidRPr="00DC2664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2015/16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173"/>
        <w:gridCol w:w="1174"/>
        <w:gridCol w:w="1174"/>
        <w:gridCol w:w="1174"/>
        <w:gridCol w:w="1174"/>
        <w:gridCol w:w="1277"/>
        <w:gridCol w:w="1174"/>
      </w:tblGrid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80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Odjel za izobrazbu učitelja i odgojitelja Sveučilišta u Zadru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Petrinja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Rijeci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Rijeka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184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Sveučilište Juraj Strossmayer u Osijeku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Filozofski fakultet Sveučilišta u Splitu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61,52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62,03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63,91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60,77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61,95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2014/15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173"/>
        <w:gridCol w:w="1174"/>
        <w:gridCol w:w="1174"/>
        <w:gridCol w:w="1174"/>
        <w:gridCol w:w="1174"/>
        <w:gridCol w:w="1277"/>
        <w:gridCol w:w="1174"/>
      </w:tblGrid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80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Odjel za izobrazbu učitelja i odgojitelja Sveučilišta u Zadru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Petrinja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Rijeci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Rijeka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184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Sveučilište Juraj Strossmayer u Osijeku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Filozofski fakultet Sveučilišta u Splitu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66,74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58,84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58,04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60,36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61,45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62,84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A21562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A21562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A21562" w:rsidRPr="00DC2664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2013/14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173"/>
        <w:gridCol w:w="1174"/>
        <w:gridCol w:w="1174"/>
        <w:gridCol w:w="1174"/>
        <w:gridCol w:w="1174"/>
        <w:gridCol w:w="1277"/>
        <w:gridCol w:w="1174"/>
      </w:tblGrid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80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Odjel za izobrazbu učitelja i odgojitelja Sveučilišta u Zadru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Petrinja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Rijeci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Rijeka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Sveučilišta u Zagrebu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184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Sveučilište Juraj Strossmayer u Osijeku</w:t>
            </w:r>
          </w:p>
        </w:tc>
        <w:tc>
          <w:tcPr>
            <w:tcW w:w="180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Filozofski fakultet Sveučilišta u Splitu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66,74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58,72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58,04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60,36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61,45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62,84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84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80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</w:tbl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A21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463D1" w:rsidRPr="00A21562" w:rsidRDefault="005463D1" w:rsidP="00A21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Pregled upisa na integrirane preddiplomske i diplomske učiteljske studije na javnim sveučilištima u Republici Hrvatskoj u razdoblju od akademske godine 2012/13 do 2016/17</w:t>
      </w:r>
    </w:p>
    <w:p w:rsidR="005463D1" w:rsidRPr="00A21562" w:rsidRDefault="005463D1" w:rsidP="00A21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2016/17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29"/>
        <w:gridCol w:w="644"/>
        <w:gridCol w:w="929"/>
        <w:gridCol w:w="929"/>
        <w:gridCol w:w="929"/>
        <w:gridCol w:w="696"/>
        <w:gridCol w:w="961"/>
        <w:gridCol w:w="939"/>
        <w:gridCol w:w="736"/>
        <w:gridCol w:w="696"/>
      </w:tblGrid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Petrinja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Rijeka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91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FOOZ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Filozofski fakultet  Split</w:t>
            </w:r>
          </w:p>
        </w:tc>
        <w:tc>
          <w:tcPr>
            <w:tcW w:w="91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Slavonski Brod</w:t>
            </w:r>
          </w:p>
        </w:tc>
        <w:tc>
          <w:tcPr>
            <w:tcW w:w="88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Gospić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68,09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62,29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60,69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61,23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58,17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55,13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2015/16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29"/>
        <w:gridCol w:w="644"/>
        <w:gridCol w:w="929"/>
        <w:gridCol w:w="929"/>
        <w:gridCol w:w="929"/>
        <w:gridCol w:w="696"/>
        <w:gridCol w:w="961"/>
        <w:gridCol w:w="939"/>
        <w:gridCol w:w="736"/>
        <w:gridCol w:w="696"/>
      </w:tblGrid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Petrinja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Rijeka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91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FOOZ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Filozofski fakultet  Split</w:t>
            </w:r>
          </w:p>
        </w:tc>
        <w:tc>
          <w:tcPr>
            <w:tcW w:w="91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Slavonski Brod</w:t>
            </w:r>
          </w:p>
        </w:tc>
        <w:tc>
          <w:tcPr>
            <w:tcW w:w="88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Gospić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5,27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68,05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62,42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61,13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66,93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61,44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58,17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55,07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52,68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2014/15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29"/>
        <w:gridCol w:w="644"/>
        <w:gridCol w:w="929"/>
        <w:gridCol w:w="929"/>
        <w:gridCol w:w="929"/>
        <w:gridCol w:w="696"/>
        <w:gridCol w:w="961"/>
        <w:gridCol w:w="939"/>
        <w:gridCol w:w="736"/>
        <w:gridCol w:w="696"/>
      </w:tblGrid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376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136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Petrinja</w:t>
            </w:r>
          </w:p>
        </w:tc>
        <w:tc>
          <w:tcPr>
            <w:tcW w:w="136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Rijeka</w:t>
            </w:r>
          </w:p>
        </w:tc>
        <w:tc>
          <w:tcPr>
            <w:tcW w:w="136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1498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FOOZ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36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Filozofski fakultet  Split</w:t>
            </w:r>
          </w:p>
        </w:tc>
        <w:tc>
          <w:tcPr>
            <w:tcW w:w="132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Slavonski Brod</w:t>
            </w:r>
          </w:p>
        </w:tc>
        <w:tc>
          <w:tcPr>
            <w:tcW w:w="1271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Gospić</w:t>
            </w:r>
          </w:p>
        </w:tc>
        <w:tc>
          <w:tcPr>
            <w:tcW w:w="87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136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13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98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32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271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7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136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3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98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2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1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136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3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498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32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271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87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136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65,22</w:t>
            </w:r>
          </w:p>
        </w:tc>
        <w:tc>
          <w:tcPr>
            <w:tcW w:w="13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60,32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59,52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58,94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62,22</w:t>
            </w:r>
          </w:p>
        </w:tc>
        <w:tc>
          <w:tcPr>
            <w:tcW w:w="1498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62,89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2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60,46</w:t>
            </w:r>
          </w:p>
        </w:tc>
        <w:tc>
          <w:tcPr>
            <w:tcW w:w="1271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87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136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3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498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32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1271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7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</w:tr>
      <w:tr w:rsidR="005463D1" w:rsidRPr="00DC2664" w:rsidTr="005463D1">
        <w:tc>
          <w:tcPr>
            <w:tcW w:w="1030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136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3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498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36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32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271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7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2013/14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29"/>
        <w:gridCol w:w="644"/>
        <w:gridCol w:w="929"/>
        <w:gridCol w:w="929"/>
        <w:gridCol w:w="929"/>
        <w:gridCol w:w="696"/>
        <w:gridCol w:w="961"/>
        <w:gridCol w:w="939"/>
        <w:gridCol w:w="736"/>
        <w:gridCol w:w="696"/>
      </w:tblGrid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Petrinja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Rijeka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91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FOOZ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Filozofski fakultet  Split</w:t>
            </w:r>
          </w:p>
        </w:tc>
        <w:tc>
          <w:tcPr>
            <w:tcW w:w="913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Slavonski Brod</w:t>
            </w:r>
          </w:p>
        </w:tc>
        <w:tc>
          <w:tcPr>
            <w:tcW w:w="88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Gospić</w:t>
            </w:r>
          </w:p>
        </w:tc>
        <w:tc>
          <w:tcPr>
            <w:tcW w:w="834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65,37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60,32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58,94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62,22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62,89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62,05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60,46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50,84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</w:tr>
      <w:tr w:rsidR="005463D1" w:rsidRPr="00DC2664" w:rsidTr="005463D1">
        <w:tc>
          <w:tcPr>
            <w:tcW w:w="742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13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82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34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5463D1" w:rsidRPr="00DC2664" w:rsidRDefault="005463D1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2012/13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29"/>
        <w:gridCol w:w="644"/>
        <w:gridCol w:w="929"/>
        <w:gridCol w:w="929"/>
        <w:gridCol w:w="929"/>
        <w:gridCol w:w="696"/>
        <w:gridCol w:w="961"/>
        <w:gridCol w:w="939"/>
        <w:gridCol w:w="736"/>
        <w:gridCol w:w="696"/>
      </w:tblGrid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Petrinja</w:t>
            </w: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Učiteljski fakultet Rijeka</w:t>
            </w: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Učiteljski fakultet 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Čakovec</w:t>
            </w:r>
          </w:p>
        </w:tc>
        <w:tc>
          <w:tcPr>
            <w:tcW w:w="90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 xml:space="preserve">FOOZ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Filozofski fakultet  Split</w:t>
            </w:r>
          </w:p>
        </w:tc>
        <w:tc>
          <w:tcPr>
            <w:tcW w:w="907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 Slavonski Brod</w:t>
            </w:r>
          </w:p>
        </w:tc>
        <w:tc>
          <w:tcPr>
            <w:tcW w:w="876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Gospić</w:t>
            </w:r>
          </w:p>
        </w:tc>
        <w:tc>
          <w:tcPr>
            <w:tcW w:w="829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FOOZ</w:t>
            </w:r>
          </w:p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Pula</w:t>
            </w:r>
          </w:p>
        </w:tc>
      </w:tr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prijava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Broj prvog izbora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Prosječni izbor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8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</w:tr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Rezultati DM %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Ocjene iz škole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63D1" w:rsidRPr="00DC2664" w:rsidTr="005463D1">
        <w:tc>
          <w:tcPr>
            <w:tcW w:w="795" w:type="dxa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Dodatni prijemi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07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76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829" w:type="dxa"/>
            <w:vAlign w:val="center"/>
          </w:tcPr>
          <w:p w:rsidR="005463D1" w:rsidRPr="00DC2664" w:rsidRDefault="005463D1" w:rsidP="0054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</w:tbl>
    <w:p w:rsidR="00A21562" w:rsidRDefault="00A21562" w:rsidP="005463D1">
      <w:pPr>
        <w:rPr>
          <w:rFonts w:ascii="Times New Roman" w:hAnsi="Times New Roman" w:cs="Times New Roman"/>
          <w:sz w:val="20"/>
          <w:szCs w:val="20"/>
        </w:rPr>
      </w:pPr>
    </w:p>
    <w:p w:rsidR="005463D1" w:rsidRPr="00A21562" w:rsidRDefault="005463D1" w:rsidP="005463D1">
      <w:pPr>
        <w:rPr>
          <w:rFonts w:ascii="Times New Roman" w:hAnsi="Times New Roman" w:cs="Times New Roman"/>
          <w:sz w:val="24"/>
          <w:szCs w:val="20"/>
        </w:rPr>
      </w:pPr>
      <w:r w:rsidRPr="00A21562">
        <w:rPr>
          <w:rFonts w:ascii="Times New Roman" w:hAnsi="Times New Roman" w:cs="Times New Roman"/>
          <w:sz w:val="24"/>
          <w:szCs w:val="20"/>
        </w:rPr>
        <w:t>Struktura upisanih studenata po mjestu boravka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534"/>
        <w:gridCol w:w="744"/>
        <w:gridCol w:w="708"/>
        <w:gridCol w:w="851"/>
        <w:gridCol w:w="709"/>
        <w:gridCol w:w="708"/>
        <w:gridCol w:w="709"/>
        <w:gridCol w:w="709"/>
        <w:gridCol w:w="709"/>
        <w:gridCol w:w="673"/>
        <w:gridCol w:w="699"/>
        <w:gridCol w:w="708"/>
        <w:gridCol w:w="709"/>
        <w:gridCol w:w="709"/>
        <w:gridCol w:w="709"/>
        <w:gridCol w:w="531"/>
        <w:gridCol w:w="850"/>
        <w:gridCol w:w="709"/>
        <w:gridCol w:w="709"/>
        <w:gridCol w:w="567"/>
        <w:gridCol w:w="531"/>
      </w:tblGrid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Zadarska</w:t>
            </w:r>
          </w:p>
        </w:tc>
        <w:tc>
          <w:tcPr>
            <w:tcW w:w="708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Zagrebačka</w:t>
            </w:r>
          </w:p>
        </w:tc>
        <w:tc>
          <w:tcPr>
            <w:tcW w:w="851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Dubrovačko Neretvanska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Splitsko dalmatinska</w:t>
            </w:r>
          </w:p>
        </w:tc>
        <w:tc>
          <w:tcPr>
            <w:tcW w:w="708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Šibensko kninska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Osječko baranjska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Vukovarsko srijemska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Virovitičko podravska</w:t>
            </w:r>
          </w:p>
        </w:tc>
        <w:tc>
          <w:tcPr>
            <w:tcW w:w="673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Požeško slavonska</w:t>
            </w:r>
          </w:p>
        </w:tc>
        <w:tc>
          <w:tcPr>
            <w:tcW w:w="69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Brodsko posavska</w:t>
            </w:r>
          </w:p>
        </w:tc>
        <w:tc>
          <w:tcPr>
            <w:tcW w:w="708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Međimurska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Varaždinska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Bjelovarsko bilogorska</w:t>
            </w:r>
          </w:p>
        </w:tc>
        <w:tc>
          <w:tcPr>
            <w:tcW w:w="709" w:type="dxa"/>
            <w:vAlign w:val="bottom"/>
          </w:tcPr>
          <w:p w:rsidR="005463D1" w:rsidRPr="005463D1" w:rsidRDefault="005463D1" w:rsidP="005463D1">
            <w:pPr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463D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Sisačko moslavačka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Karlovačka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Koprivničko križevačka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Krapinsko zagorska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Primorsko goranska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Istarska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Ličko senjska</w:t>
            </w:r>
          </w:p>
        </w:tc>
      </w:tr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2017</w:t>
            </w:r>
          </w:p>
        </w:tc>
        <w:tc>
          <w:tcPr>
            <w:tcW w:w="744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3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2016</w:t>
            </w:r>
          </w:p>
        </w:tc>
        <w:tc>
          <w:tcPr>
            <w:tcW w:w="744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PO2015</w:t>
            </w:r>
          </w:p>
        </w:tc>
        <w:tc>
          <w:tcPr>
            <w:tcW w:w="744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RN2017</w:t>
            </w:r>
          </w:p>
        </w:tc>
        <w:tc>
          <w:tcPr>
            <w:tcW w:w="744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RN2016</w:t>
            </w:r>
          </w:p>
        </w:tc>
        <w:tc>
          <w:tcPr>
            <w:tcW w:w="744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463D1" w:rsidRPr="00DC2664" w:rsidTr="005463D1">
        <w:tc>
          <w:tcPr>
            <w:tcW w:w="534" w:type="dxa"/>
            <w:vAlign w:val="bottom"/>
          </w:tcPr>
          <w:p w:rsidR="005463D1" w:rsidRPr="00DC2664" w:rsidRDefault="005463D1" w:rsidP="005463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RN2015</w:t>
            </w:r>
          </w:p>
        </w:tc>
        <w:tc>
          <w:tcPr>
            <w:tcW w:w="744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bottom"/>
          </w:tcPr>
          <w:p w:rsidR="005463D1" w:rsidRPr="00DC2664" w:rsidRDefault="005463D1" w:rsidP="005463D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463D1" w:rsidRPr="00DC2664" w:rsidRDefault="005463D1" w:rsidP="005463D1">
      <w:pPr>
        <w:rPr>
          <w:rFonts w:ascii="Times New Roman" w:hAnsi="Times New Roman" w:cs="Times New Roman"/>
          <w:b/>
          <w:sz w:val="20"/>
          <w:szCs w:val="20"/>
        </w:rPr>
      </w:pPr>
    </w:p>
    <w:p w:rsidR="005463D1" w:rsidRPr="00DC2664" w:rsidRDefault="005463D1" w:rsidP="00546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664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72DDC5CF" wp14:editId="40FA99D9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63D1" w:rsidRPr="00DC2664" w:rsidRDefault="005463D1" w:rsidP="005463D1">
      <w:pPr>
        <w:rPr>
          <w:rFonts w:ascii="Times New Roman" w:hAnsi="Times New Roman" w:cs="Times New Roman"/>
          <w:b/>
          <w:sz w:val="20"/>
          <w:szCs w:val="20"/>
        </w:rPr>
      </w:pPr>
    </w:p>
    <w:p w:rsidR="005463D1" w:rsidRPr="005463D1" w:rsidRDefault="005463D1" w:rsidP="0054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>Na preddiplomski studij ranog i predškolskog odgoja i obrazovanja prijavljeno je u zadnje 4 akademske godine prosječno 508,25 pristupnika godišnje u rasponu od 477 do 543 pristupnika, što je kroz zadnje dvije godine drugi po redu najbolji broj prijava iza Učiteljskog fakulteta u Zagrebu.  U akademskim godinama 2014/15 i 2013/14 to mjesto pripadalo je Fakultetu odgojnih i obrazovnih znanosti u Osijeku. Akademske godine 2015/16 Osijek uvodi dodatnu provjeru za upis čime im broj pristupnika pada s 621/705 na 351/375.</w:t>
      </w:r>
    </w:p>
    <w:p w:rsidR="005463D1" w:rsidRPr="005463D1" w:rsidRDefault="005463D1" w:rsidP="0054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>Uspjeh pristupnika na ovaj studij na svim sveučilištima u R.Hrvatskoj  je podjednak od 3,79 – 4,14 po uspjehu u školi i od 60,77 – 67,2 po uspjehu na državnoj maturi. Time uspjeh nije relevantni pokazatelj poretka iako pristupnici koji upisuju studij u Zadru imaju prosječan uspjeh 3,82 s tendencijom rasta od prije dvije godine.</w:t>
      </w:r>
    </w:p>
    <w:p w:rsidR="005463D1" w:rsidRPr="005463D1" w:rsidRDefault="005463D1" w:rsidP="00546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>Na integriranom preddiplomskom i diplomskom učiteljskom studiju je slična situacija, prijevljeno je u zadnjih 5 godina prosječno 505 pristupnika godišnje u rasponu od 459-549 pristupnika, što je kao i za studij ranog i predškolskog odgoja i obrazovanja kroz zadnje dvije godine drugi po redu najbolji broj prijava iza Učiteljskog fakulteta u Zagrebu. Ponovo, primjer Fakulteta odgojnih i obrazovnih znanosti u Osijeku pokazuje da nakon uvođenja dodatne provjere, fakultet pada s 881/787/679 na 404/338 pristupnika s lošijim uspjeho na državnoj maturi i ocjenama iz srednje škole.</w:t>
      </w:r>
    </w:p>
    <w:p w:rsidR="005463D1" w:rsidRPr="005463D1" w:rsidRDefault="005463D1" w:rsidP="00546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3D1">
        <w:rPr>
          <w:rFonts w:ascii="Times New Roman" w:hAnsi="Times New Roman" w:cs="Times New Roman"/>
          <w:sz w:val="24"/>
          <w:szCs w:val="24"/>
        </w:rPr>
        <w:t xml:space="preserve">Pogleda li se područje stalnog boravka studenata upisanih na naše studije vidljivo je da više od 50% upisanih studenata dolazi iz ostalih županija, a samo 31% iz Zadarske županije. </w:t>
      </w:r>
    </w:p>
    <w:p w:rsidR="005463D1" w:rsidRPr="005463D1" w:rsidRDefault="005463D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463D1" w:rsidRDefault="005463D1" w:rsidP="005463D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 </w:t>
      </w:r>
      <w:r w:rsidRPr="005463D1">
        <w:rPr>
          <w:rFonts w:ascii="Times New Roman" w:hAnsi="Times New Roman" w:cs="Times New Roman"/>
          <w:b/>
          <w:sz w:val="24"/>
          <w:szCs w:val="24"/>
        </w:rPr>
        <w:t>St</w:t>
      </w:r>
      <w:r w:rsidR="00007B05">
        <w:rPr>
          <w:rFonts w:ascii="Times New Roman" w:hAnsi="Times New Roman" w:cs="Times New Roman"/>
          <w:b/>
          <w:sz w:val="24"/>
          <w:szCs w:val="24"/>
        </w:rPr>
        <w:t>ruktura ljudskih resursa</w:t>
      </w:r>
    </w:p>
    <w:p w:rsidR="00007B05" w:rsidRPr="00007B05" w:rsidRDefault="00007B05" w:rsidP="00007B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05">
        <w:rPr>
          <w:rFonts w:ascii="Times New Roman" w:hAnsi="Times New Roman" w:cs="Times New Roman"/>
          <w:sz w:val="24"/>
          <w:szCs w:val="24"/>
        </w:rPr>
        <w:t xml:space="preserve">Jedan od glavnih ciljeva koje Odjel planira ostvariti je osnaživanje ljudskim resursima. </w:t>
      </w:r>
      <w:r w:rsidR="00B45296">
        <w:rPr>
          <w:rFonts w:ascii="Times New Roman" w:hAnsi="Times New Roman" w:cs="Times New Roman"/>
          <w:sz w:val="24"/>
          <w:szCs w:val="24"/>
        </w:rPr>
        <w:t>Trenutno je na Odjelu zaposleno: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3 redovita profesora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 xml:space="preserve">3 izvanredna profesora 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9 docenta (od kojih su dvoje u postupku izbora za izvanrednog profesora)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2 postdoktoranda (od kojih je jedan u postupku izbora za docenta)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1 asistent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3 viša predavača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3 predavača</w:t>
      </w:r>
    </w:p>
    <w:p w:rsidR="00A16798" w:rsidRPr="00A16798" w:rsidRDefault="00A16798" w:rsidP="00A1679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administrativna tajnica</w:t>
      </w:r>
    </w:p>
    <w:p w:rsidR="00A16798" w:rsidRPr="00B45296" w:rsidRDefault="00A16798" w:rsidP="00A167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98">
        <w:rPr>
          <w:rFonts w:ascii="Times New Roman" w:hAnsi="Times New Roman" w:cs="Times New Roman"/>
          <w:sz w:val="24"/>
          <w:szCs w:val="24"/>
        </w:rPr>
        <w:t>Postojeća struktura nastavnika nije adekvatna za izvođenje nastave na studijskim programima. Postupnim odlascima djelatnika u mirovinu, radi očuvanja koeficijenata i mogućnosti napredovanja, na ispražnjena radna mjesta zapošljavaju se asistenti čija satnica je najmanja u sustavu. Time se dodatno povećava ukupno opterećenje nastavnika. Nedostatak kadra i velika optere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16798">
        <w:rPr>
          <w:rFonts w:ascii="Times New Roman" w:hAnsi="Times New Roman" w:cs="Times New Roman"/>
          <w:sz w:val="24"/>
          <w:szCs w:val="24"/>
        </w:rPr>
        <w:t>enja nastavnika najve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16798">
        <w:rPr>
          <w:rFonts w:ascii="Times New Roman" w:hAnsi="Times New Roman" w:cs="Times New Roman"/>
          <w:sz w:val="24"/>
          <w:szCs w:val="24"/>
        </w:rPr>
        <w:t xml:space="preserve">i su trenutni problemi na Odjelu. Redoviti i izvanredni profesori, kao ni docenti nemaju asistente,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6798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žavaju</w:t>
      </w:r>
      <w:r w:rsidRPr="00A16798">
        <w:rPr>
          <w:rFonts w:ascii="Times New Roman" w:hAnsi="Times New Roman" w:cs="Times New Roman"/>
          <w:sz w:val="24"/>
          <w:szCs w:val="24"/>
        </w:rPr>
        <w:t xml:space="preserve"> predavanja, seminare, kao i vjezbe,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16798">
        <w:rPr>
          <w:rFonts w:ascii="Times New Roman" w:hAnsi="Times New Roman" w:cs="Times New Roman"/>
          <w:sz w:val="24"/>
          <w:szCs w:val="24"/>
        </w:rPr>
        <w:t xml:space="preserve">ime se umanjuju njihove mogucnosti za bavljenje znanstvenim radom. Omjer broja nastavnika </w:t>
      </w:r>
      <w:r>
        <w:rPr>
          <w:rFonts w:ascii="Times New Roman" w:hAnsi="Times New Roman" w:cs="Times New Roman"/>
          <w:sz w:val="24"/>
          <w:szCs w:val="24"/>
        </w:rPr>
        <w:t xml:space="preserve">i studenata je </w:t>
      </w:r>
      <w:r w:rsidR="004E192F">
        <w:rPr>
          <w:rFonts w:ascii="Times New Roman" w:hAnsi="Times New Roman" w:cs="Times New Roman"/>
          <w:sz w:val="24"/>
          <w:szCs w:val="24"/>
        </w:rPr>
        <w:t>1 : 27</w:t>
      </w:r>
    </w:p>
    <w:p w:rsidR="00A16798" w:rsidRDefault="00A16798" w:rsidP="00A167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296">
        <w:rPr>
          <w:rFonts w:ascii="Times New Roman" w:hAnsi="Times New Roman" w:cs="Times New Roman"/>
          <w:sz w:val="24"/>
          <w:szCs w:val="24"/>
        </w:rPr>
        <w:t xml:space="preserve">Osim nastavnog kadra opterećenje postoji i kod administrativnog kadra. </w:t>
      </w:r>
      <w:r>
        <w:rPr>
          <w:rFonts w:ascii="Times New Roman" w:hAnsi="Times New Roman" w:cs="Times New Roman"/>
          <w:sz w:val="24"/>
          <w:szCs w:val="24"/>
        </w:rPr>
        <w:t xml:space="preserve">U tajništvu Odjela trenutno je zaposlena jedna administrativna tajnica u stalnom radnom odnosu i jedna administrativna tajnica na određeno radno vrijeme. Omjer broja administrativnog osoblja i studenata je </w:t>
      </w:r>
      <w:r w:rsidR="004E192F">
        <w:rPr>
          <w:rFonts w:ascii="Times New Roman" w:hAnsi="Times New Roman" w:cs="Times New Roman"/>
          <w:sz w:val="24"/>
          <w:szCs w:val="24"/>
        </w:rPr>
        <w:t>1 : 320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8FD" w:rsidRDefault="006F38FD" w:rsidP="006F3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FD" w:rsidRPr="00B45296" w:rsidRDefault="006F38FD" w:rsidP="006F3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D1" w:rsidRPr="005463D1" w:rsidRDefault="005463D1" w:rsidP="005463D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 Međunarodna suradnja i mobilnost na Odjelu</w:t>
      </w:r>
    </w:p>
    <w:p w:rsidR="005311D5" w:rsidRDefault="009E62AD" w:rsidP="009A48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Odjel</w:t>
      </w:r>
      <w:r w:rsidR="009A485F" w:rsidRPr="009A485F">
        <w:rPr>
          <w:rFonts w:ascii="Times New Roman" w:hAnsi="Times New Roman" w:cs="Times New Roman"/>
          <w:sz w:val="24"/>
        </w:rPr>
        <w:t xml:space="preserve"> je svjestan važnosti međunarodne razmjene i međunarodnih projekata. </w:t>
      </w:r>
      <w:r>
        <w:rPr>
          <w:rFonts w:ascii="Times New Roman" w:hAnsi="Times New Roman" w:cs="Times New Roman"/>
          <w:sz w:val="24"/>
        </w:rPr>
        <w:t>Odjelni erasmus koordinator</w:t>
      </w:r>
      <w:r w:rsidR="009A485F" w:rsidRPr="009A485F">
        <w:rPr>
          <w:rFonts w:ascii="Times New Roman" w:hAnsi="Times New Roman" w:cs="Times New Roman"/>
          <w:sz w:val="24"/>
        </w:rPr>
        <w:t xml:space="preserve"> radi na promicanju međunarodne suradnje i mobilnosti tako da se brine o objavi </w:t>
      </w:r>
      <w:r>
        <w:rPr>
          <w:rFonts w:ascii="Times New Roman" w:hAnsi="Times New Roman" w:cs="Times New Roman"/>
          <w:sz w:val="24"/>
        </w:rPr>
        <w:t>natječaja za mobilnost</w:t>
      </w:r>
      <w:r w:rsidR="009A485F" w:rsidRPr="009A485F">
        <w:rPr>
          <w:rFonts w:ascii="Times New Roman" w:hAnsi="Times New Roman" w:cs="Times New Roman"/>
          <w:sz w:val="24"/>
        </w:rPr>
        <w:t xml:space="preserve"> te informira studente, nastavnike i nenastavničko osoblje o mogućnostima koje se nude kroz programe mobilnosti i međunarodne suradnje. </w:t>
      </w:r>
      <w:r>
        <w:rPr>
          <w:rFonts w:ascii="Times New Roman" w:hAnsi="Times New Roman" w:cs="Times New Roman"/>
          <w:sz w:val="24"/>
        </w:rPr>
        <w:t xml:space="preserve">Zadnjih nekoliko godina mobilnost studenata i nastavnika je u porastu. </w:t>
      </w:r>
    </w:p>
    <w:p w:rsidR="009E62AD" w:rsidRDefault="009E62AD" w:rsidP="000F26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 ima dugogodišnju suradnju s mnogim institucijama za obrazovanje učitelja i odgojitelja koja se realizirala kroz brojne projekte. Te institucije su: Padagogische Hochschule Steiermark – Eisenstadt, Učiteljski fakultet u Sopronu u Mađarskoj, te učiteljskim fakultetima okupljenima u udruženju Kastalia, koja broji </w:t>
      </w:r>
      <w:r w:rsidR="00B02196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0F2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institucija za obrazovanje učitelja i odgojitelja iz cijele Europe.</w:t>
      </w:r>
    </w:p>
    <w:p w:rsidR="005311D5" w:rsidRPr="00B943EA" w:rsidRDefault="005311D5" w:rsidP="00531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11D5" w:rsidRDefault="005311D5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196" w:rsidRDefault="00B02196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196" w:rsidRDefault="00B02196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196" w:rsidRDefault="00B02196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196" w:rsidRDefault="00B02196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196" w:rsidRDefault="00B02196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196" w:rsidRDefault="00B02196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68E2" w:rsidRDefault="00C668E2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4111" w:rsidRDefault="005A4111" w:rsidP="00A6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4111" w:rsidRDefault="005A4111" w:rsidP="00EB2A7A">
      <w:pPr>
        <w:pStyle w:val="ListParagraph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Strateški ciljevi, pokazatelji i mjere</w:t>
      </w:r>
    </w:p>
    <w:p w:rsidR="000D11B1" w:rsidRDefault="000D11B1" w:rsidP="000D11B1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D11B1" w:rsidRDefault="000D11B1" w:rsidP="000D11B1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Unaprjeđenje studijskih programa na Odjelu</w:t>
      </w:r>
    </w:p>
    <w:p w:rsidR="000D11B1" w:rsidRDefault="000D11B1" w:rsidP="000D11B1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79"/>
        <w:gridCol w:w="1608"/>
        <w:gridCol w:w="1919"/>
        <w:gridCol w:w="1576"/>
        <w:gridCol w:w="1557"/>
      </w:tblGrid>
      <w:tr w:rsidR="000D11B1" w:rsidTr="000D11B1">
        <w:tc>
          <w:tcPr>
            <w:tcW w:w="2379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Strateški specifični cilj</w:t>
            </w:r>
          </w:p>
        </w:tc>
        <w:tc>
          <w:tcPr>
            <w:tcW w:w="1608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Ključni pokazatelji</w:t>
            </w:r>
          </w:p>
        </w:tc>
        <w:tc>
          <w:tcPr>
            <w:tcW w:w="1919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Mehanizmi praćenja</w:t>
            </w:r>
          </w:p>
        </w:tc>
        <w:tc>
          <w:tcPr>
            <w:tcW w:w="1576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</w:t>
            </w:r>
          </w:p>
        </w:tc>
        <w:tc>
          <w:tcPr>
            <w:tcW w:w="1557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provedbe</w:t>
            </w:r>
          </w:p>
        </w:tc>
      </w:tr>
      <w:tr w:rsidR="000D11B1" w:rsidTr="000D11B1">
        <w:tc>
          <w:tcPr>
            <w:tcW w:w="237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 Revizija postojećih studijskih programa (posebice s obzirom na opterećenje studenata)</w:t>
            </w:r>
          </w:p>
        </w:tc>
        <w:tc>
          <w:tcPr>
            <w:tcW w:w="160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tematskih sjednica.</w:t>
            </w:r>
          </w:p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izvršenih promjena u studijskim programima</w:t>
            </w:r>
          </w:p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Usklađivanje opterećenja studenata s brojem ECTS bodova</w:t>
            </w:r>
          </w:p>
        </w:tc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realizaciji izvedbenog plana.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Anketiranje bivših studenata.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Anketiranje vanjskih dionika.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Predsjednica Povjerenstva za osiguravanje kvalitete na Odjelu.</w:t>
            </w:r>
          </w:p>
        </w:tc>
        <w:tc>
          <w:tcPr>
            <w:tcW w:w="1557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Kontinuirano, svake godine</w:t>
            </w:r>
          </w:p>
        </w:tc>
      </w:tr>
      <w:tr w:rsidR="000D11B1" w:rsidTr="000D11B1">
        <w:tc>
          <w:tcPr>
            <w:tcW w:w="237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 Promoviranje studijskih programa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u w:val="single"/>
              </w:rPr>
            </w:pPr>
          </w:p>
        </w:tc>
        <w:tc>
          <w:tcPr>
            <w:tcW w:w="160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posjetitelja na otvorenim danima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Promotivni materijali</w:t>
            </w:r>
          </w:p>
        </w:tc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otvorenih dana Odjela.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promotivnih materijala.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</w:p>
        </w:tc>
        <w:tc>
          <w:tcPr>
            <w:tcW w:w="157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Kontinuirano, svake godine</w:t>
            </w:r>
          </w:p>
        </w:tc>
      </w:tr>
      <w:tr w:rsidR="000D11B1" w:rsidTr="000D11B1">
        <w:tc>
          <w:tcPr>
            <w:tcW w:w="237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 Razvoj suvremenih i inovativnih sveučilišnih preddiplomskih i diplomskih studijskih programa u suglasju sa znanstvenim spoznajama i potrebama tržišta</w:t>
            </w:r>
          </w:p>
        </w:tc>
        <w:tc>
          <w:tcPr>
            <w:tcW w:w="160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Definiranje novih studijskih programa</w:t>
            </w:r>
          </w:p>
        </w:tc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Povratne informacije vanjskih sudionika i bivših studenata</w:t>
            </w:r>
          </w:p>
        </w:tc>
        <w:tc>
          <w:tcPr>
            <w:tcW w:w="157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Predsjednica Povjerenstva za osiguravanje kvalitete na Odjelu.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Kontinuirano, svake godine</w:t>
            </w:r>
          </w:p>
        </w:tc>
      </w:tr>
      <w:tr w:rsidR="000D11B1" w:rsidTr="000D11B1">
        <w:tc>
          <w:tcPr>
            <w:tcW w:w="237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 Osmišljavanje novih programa cjeloživotnog obrazovanja</w:t>
            </w:r>
          </w:p>
        </w:tc>
        <w:tc>
          <w:tcPr>
            <w:tcW w:w="160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Programi cjeloživotnog obrazovanja</w:t>
            </w:r>
          </w:p>
        </w:tc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i evidencija polaznika programa</w:t>
            </w:r>
          </w:p>
        </w:tc>
        <w:tc>
          <w:tcPr>
            <w:tcW w:w="157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</w:t>
            </w:r>
          </w:p>
        </w:tc>
        <w:tc>
          <w:tcPr>
            <w:tcW w:w="1557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Kontinuirano, svake godine</w:t>
            </w:r>
          </w:p>
        </w:tc>
      </w:tr>
    </w:tbl>
    <w:p w:rsidR="000D11B1" w:rsidRDefault="000D11B1" w:rsidP="000D11B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D11B1" w:rsidRDefault="000D11B1" w:rsidP="000D11B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Unaprjeđenje nastavnog procesa</w:t>
      </w:r>
    </w:p>
    <w:p w:rsidR="000D11B1" w:rsidRDefault="000D11B1" w:rsidP="000D11B1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7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2"/>
        <w:gridCol w:w="1629"/>
        <w:gridCol w:w="1728"/>
        <w:gridCol w:w="1717"/>
        <w:gridCol w:w="1551"/>
      </w:tblGrid>
      <w:tr w:rsidR="000D11B1" w:rsidTr="000D11B1">
        <w:tc>
          <w:tcPr>
            <w:tcW w:w="2458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Strateški specifični cilj</w:t>
            </w:r>
          </w:p>
        </w:tc>
        <w:tc>
          <w:tcPr>
            <w:tcW w:w="163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Ključni pokazatelji</w:t>
            </w:r>
          </w:p>
        </w:tc>
        <w:tc>
          <w:tcPr>
            <w:tcW w:w="1756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Mehanizmi praćenja</w:t>
            </w:r>
          </w:p>
        </w:tc>
        <w:tc>
          <w:tcPr>
            <w:tcW w:w="1745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</w:t>
            </w:r>
          </w:p>
        </w:tc>
        <w:tc>
          <w:tcPr>
            <w:tcW w:w="144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provedbe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 Implementiranje suvremenih nastavnih metoda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projektnih aktivnosti u okviru nastavnog procesa.</w:t>
            </w:r>
          </w:p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publiciranih studentskih radnih materijala.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odsjeka.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 Osiguravanje kvalitete nastave primjerenim nastavnim opterećenjem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Nastavna opterećenja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nastavnom opterećenju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 Povećanje udjela e-kolegija uvođenjem suvremenih tehnologija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kolegija po studijskom programu koji imaju prateći e-kolegij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Usporedba s prethodnim godinama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odsjeka.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 Osiguravanje kvalitete prostora, opreme i literature potrebne za izvođenje nastave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kvalitete učioničkog namještaja i računala.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knjižničnog fonda.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Usporedba s prethodnim godinama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pročelnice.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 Publiciranje novih nastavnih materijala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publiciranih sveučilišnih udžbenika i nastavnih materijala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Usporedba s prethodnim godinama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pročelnice.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Pr="002873A5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 Poticanje prepoznatljivost studijskih programa na međunarodnoj razini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i analiza iskazanog interesa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Usporedba s prethodnim godinama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 Odgovorno pristupanje određivanju upisne kvote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i analiza potreba tržišta rada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Izvješća o provedenim analizama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Kontinuirano, svake godine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4.2.8. Promoviranje Odjela radi privlačenja najboljih učenika srednje škole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Predstavljanje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festivalu znanosti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uspjeha upisanih studenata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Odjela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Kontinuirano, svake godine</w:t>
            </w:r>
          </w:p>
        </w:tc>
      </w:tr>
    </w:tbl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11B1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4.3.Unaprjeđenje uvjeta studiranja i položaja studenata</w:t>
      </w:r>
    </w:p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37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34"/>
        <w:gridCol w:w="1630"/>
        <w:gridCol w:w="1748"/>
        <w:gridCol w:w="1734"/>
        <w:gridCol w:w="1491"/>
      </w:tblGrid>
      <w:tr w:rsidR="000D11B1" w:rsidTr="000D11B1">
        <w:tc>
          <w:tcPr>
            <w:tcW w:w="2458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Strateški specifični cilj</w:t>
            </w:r>
          </w:p>
        </w:tc>
        <w:tc>
          <w:tcPr>
            <w:tcW w:w="163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Ključni pokazatelji</w:t>
            </w:r>
          </w:p>
        </w:tc>
        <w:tc>
          <w:tcPr>
            <w:tcW w:w="1756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Mehanizmi praćenja</w:t>
            </w:r>
          </w:p>
        </w:tc>
        <w:tc>
          <w:tcPr>
            <w:tcW w:w="1745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</w:t>
            </w:r>
          </w:p>
        </w:tc>
        <w:tc>
          <w:tcPr>
            <w:tcW w:w="144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provedbe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 Poticanje uspješnosti završetka studija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F2154E" w:rsidRDefault="000D11B1" w:rsidP="000D11B1">
            <w:pPr>
              <w:pStyle w:val="Default"/>
            </w:pPr>
            <w:r w:rsidRPr="00F2154E">
              <w:t>Broj diplomiranih studenata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završetka studiranja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 Ustrajanje na partnerskom i suradničkom odnosu sa studentima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F2154E">
              <w:t xml:space="preserve">Povećanje broja studenata uključenih u Stručno Vijeće Odjela i   povjerenstva. </w:t>
            </w:r>
          </w:p>
          <w:p w:rsidR="000D11B1" w:rsidRPr="00F2154E" w:rsidRDefault="000D11B1" w:rsidP="000D11B1">
            <w:pPr>
              <w:pStyle w:val="Default"/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 izvješće o radu studentskih predstavnika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Početkom akademske godine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Pr="002873A5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 Podržavanje stručnih, kulturnih, sportskih i humanitarnih  aktivnosti studenata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podrške u organizaciji navedenih aktivnosti studenata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organiziranih aktivnosti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studenata uključenih u navedene aktivnosti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 Poticanje na izvrsnost i pružanje podrške najuspješnijim studentima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F2154E" w:rsidRDefault="000D11B1" w:rsidP="000D11B1">
            <w:pPr>
              <w:pStyle w:val="Default"/>
            </w:pPr>
            <w:r w:rsidRPr="00F2154E">
              <w:t xml:space="preserve">Nagrađivanje najboljih studenata. 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nagrađenih studenata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Pročelnica Odjela 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Početkom akademske godine za proteklu godinu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 Pružanje potpore studentima s posebnim potrebama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F2154E" w:rsidRDefault="000D11B1" w:rsidP="000D11B1">
            <w:pPr>
              <w:pStyle w:val="Default"/>
            </w:pPr>
            <w:r>
              <w:t>Broj studenata s posebnim potrebama kojima je pružena pomoć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pruženoj potpori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Pročelnica Odjela 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Zamjenica 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pročelnice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</w:tbl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11B1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4.4. Znanstveno – istraživački rad</w:t>
      </w:r>
    </w:p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38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7"/>
        <w:gridCol w:w="1671"/>
        <w:gridCol w:w="1739"/>
        <w:gridCol w:w="1720"/>
        <w:gridCol w:w="1491"/>
      </w:tblGrid>
      <w:tr w:rsidR="000D11B1" w:rsidTr="000D11B1">
        <w:tc>
          <w:tcPr>
            <w:tcW w:w="2442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Strateški specifični cilj</w:t>
            </w:r>
          </w:p>
        </w:tc>
        <w:tc>
          <w:tcPr>
            <w:tcW w:w="1671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Ključni pokazatelji</w:t>
            </w:r>
          </w:p>
        </w:tc>
        <w:tc>
          <w:tcPr>
            <w:tcW w:w="1749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Mehanizmi praćenja</w:t>
            </w:r>
          </w:p>
        </w:tc>
        <w:tc>
          <w:tcPr>
            <w:tcW w:w="1736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</w:t>
            </w:r>
          </w:p>
        </w:tc>
        <w:tc>
          <w:tcPr>
            <w:tcW w:w="1440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provedbe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4.4.1.Povećanje broja objavljenih radova u časopisima indeksiranim u WoS-u i Scopusu.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radova u WoS-u i Scopusu.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znanstvenoj djelatnosti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Početkom akademske godine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 Sudjelovanje znanstvenika na međunarodnim znanstveno-stručnim projektima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sudjelovanja na međunarodnim projektima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znanstvenoj djelatnosti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Pročelnica Odjela 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Početkom akademske godine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Sudjelovanje znanstvenika na međunarodnim znanstveno-stručnim skupovima</w:t>
            </w:r>
          </w:p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sudjelovanja na međunarodnim znanstveno-stručnim skupovima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znanstvenoj djelatnosti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Početkom akademske godine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4.4.4. Podizanje časopisa </w:t>
            </w:r>
            <w:r w:rsidRPr="00836947">
              <w:rPr>
                <w:rFonts w:ascii="Times New Roman" w:hAnsi="Times New Roman" w:cs="Times New Roman"/>
                <w:i/>
                <w:sz w:val="24"/>
                <w:szCs w:val="24"/>
              </w:rPr>
              <w:t>Magistra Iadertina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razinu A 1</w:t>
            </w: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izlaženje časopisa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Indeksiranost u bazama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stranica časopisa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Uredništvo časopisa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 Poticanje nastavnika na izvrsnost</w:t>
            </w: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znanstvenim projektima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Publiciranje znanstvenih radova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Pravilnik o nagrađivanju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Zamjenica pročelnice 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 Unaprjeđivanje informiranja o pozivima za prijavu na znanstveno-stručne konferencije i projekte</w:t>
            </w:r>
          </w:p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upućenih obavijesti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stranica Odjela 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42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4.4.7. Organiziranje radionica za prijavu projekata</w:t>
            </w:r>
          </w:p>
        </w:tc>
        <w:tc>
          <w:tcPr>
            <w:tcW w:w="1671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organiziranih radionica</w:t>
            </w:r>
          </w:p>
        </w:tc>
        <w:tc>
          <w:tcPr>
            <w:tcW w:w="1749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evidencije o održanim radionicama</w:t>
            </w:r>
          </w:p>
        </w:tc>
        <w:tc>
          <w:tcPr>
            <w:tcW w:w="173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</w:tbl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11B1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4.5. Mobilnost i međunarodna suradnja</w:t>
      </w:r>
    </w:p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037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30"/>
        <w:gridCol w:w="1633"/>
        <w:gridCol w:w="1748"/>
        <w:gridCol w:w="1735"/>
        <w:gridCol w:w="1491"/>
      </w:tblGrid>
      <w:tr w:rsidR="000D11B1" w:rsidTr="000D11B1">
        <w:tc>
          <w:tcPr>
            <w:tcW w:w="2458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Strateški specifični cilj</w:t>
            </w:r>
          </w:p>
        </w:tc>
        <w:tc>
          <w:tcPr>
            <w:tcW w:w="163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Ključni pokazatelji</w:t>
            </w:r>
          </w:p>
        </w:tc>
        <w:tc>
          <w:tcPr>
            <w:tcW w:w="1756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Mehanizmi praćenja</w:t>
            </w:r>
          </w:p>
        </w:tc>
        <w:tc>
          <w:tcPr>
            <w:tcW w:w="1745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</w:t>
            </w:r>
          </w:p>
        </w:tc>
        <w:tc>
          <w:tcPr>
            <w:tcW w:w="144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provedbe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4.5.1. Suradnja s inozemnim znanstvenim institucijama.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BD5C81">
              <w:t>Povećanje broja bilateralnih sporazuma između Odjela i ino</w:t>
            </w:r>
            <w:r>
              <w:t>zemnih znanstvenih institucija</w:t>
            </w:r>
          </w:p>
          <w:p w:rsidR="000D11B1" w:rsidRPr="00BD5C81" w:rsidRDefault="000D11B1" w:rsidP="000D11B1">
            <w:pPr>
              <w:pStyle w:val="Default"/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7D7E59" w:rsidRDefault="000D11B1" w:rsidP="000D11B1">
            <w:pPr>
              <w:pStyle w:val="Default"/>
            </w:pPr>
            <w:r w:rsidRPr="007D7E59">
              <w:t xml:space="preserve">Usporedba s prethodnim razdobljem. 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 Organizacija i suorganizacija međunarodnih znanstveno-stručnih skupova.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BD5C81">
              <w:t xml:space="preserve">Ustrajanje u organiziranju već pokrenutih znanstvenih skupova. </w:t>
            </w:r>
          </w:p>
          <w:p w:rsidR="000D11B1" w:rsidRPr="00BD5C81" w:rsidRDefault="000D11B1" w:rsidP="000D11B1">
            <w:pPr>
              <w:pStyle w:val="Default"/>
            </w:pPr>
          </w:p>
          <w:p w:rsidR="000D11B1" w:rsidRPr="00BD5C81" w:rsidRDefault="000D11B1" w:rsidP="000D11B1">
            <w:pPr>
              <w:pStyle w:val="Default"/>
            </w:pPr>
            <w:r w:rsidRPr="00BD5C81">
              <w:t>Povećanje broja međunarodnih znanstveno-stručnih skupova kojima je Odje</w:t>
            </w:r>
            <w:r>
              <w:t>l organizator ili suorganizator</w:t>
            </w:r>
            <w:r w:rsidRPr="00BD5C81">
              <w:t xml:space="preserve"> </w:t>
            </w:r>
          </w:p>
          <w:p w:rsidR="000D11B1" w:rsidRPr="00BD5C81" w:rsidRDefault="000D11B1" w:rsidP="000D11B1">
            <w:pPr>
              <w:pStyle w:val="Default"/>
            </w:pPr>
          </w:p>
          <w:p w:rsidR="000D11B1" w:rsidRPr="00BD5C81" w:rsidRDefault="000D11B1" w:rsidP="000D11B1">
            <w:pPr>
              <w:pStyle w:val="Default"/>
            </w:pPr>
          </w:p>
          <w:p w:rsidR="000D11B1" w:rsidRPr="00BD5C81" w:rsidRDefault="000D11B1" w:rsidP="000D11B1">
            <w:pPr>
              <w:pStyle w:val="Default"/>
            </w:pPr>
            <w:r>
              <w:t xml:space="preserve"> 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BD5C81">
              <w:t xml:space="preserve">Vođenje evidencije organiziranih skupova. </w:t>
            </w:r>
          </w:p>
          <w:p w:rsidR="000D11B1" w:rsidRPr="00BD5C81" w:rsidRDefault="000D11B1" w:rsidP="000D11B1">
            <w:pPr>
              <w:pStyle w:val="Default"/>
            </w:pPr>
          </w:p>
          <w:p w:rsidR="000D11B1" w:rsidRPr="00BD5C81" w:rsidRDefault="000D11B1" w:rsidP="000D11B1">
            <w:pPr>
              <w:pStyle w:val="Default"/>
            </w:pPr>
            <w:r w:rsidRPr="00BD5C81">
              <w:t xml:space="preserve">Usporedba s prethodnim razdobljem. </w:t>
            </w:r>
          </w:p>
          <w:p w:rsidR="000D11B1" w:rsidRPr="00BD5C81" w:rsidRDefault="000D11B1" w:rsidP="000D11B1">
            <w:pPr>
              <w:pStyle w:val="Default"/>
            </w:pPr>
          </w:p>
          <w:p w:rsidR="000D11B1" w:rsidRPr="00BD5C81" w:rsidRDefault="000D11B1" w:rsidP="000D11B1">
            <w:pPr>
              <w:pStyle w:val="Default"/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  <w:rPr>
                <w:sz w:val="22"/>
                <w:szCs w:val="22"/>
              </w:rPr>
            </w:pPr>
          </w:p>
          <w:p w:rsidR="000D11B1" w:rsidRDefault="000D11B1" w:rsidP="000D11B1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Predstojnici odsjeka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 Sudjelovanje nastavnika u programskim i organizacijskim odborima međunarodnih znanstveno-stručnih skupova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BD5C81" w:rsidRDefault="000D11B1" w:rsidP="000D11B1">
            <w:pPr>
              <w:pStyle w:val="Default"/>
            </w:pPr>
            <w:r>
              <w:t>Povećanje broja nastavnika u navedenim odborima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BD5C81" w:rsidRDefault="000D11B1" w:rsidP="000D11B1">
            <w:pPr>
              <w:pStyle w:val="Default"/>
            </w:pPr>
            <w:r>
              <w:t>Evidencija članova navedenih odbora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4.5.4. Sudjelovanje nastavnika u uredništvu međunarodnih znanstvenih časopisa i publikacija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>
              <w:t xml:space="preserve">Povećanje broja nastavnika u uredništvu međunarodnih znanstvenih časopisa i publikacija </w:t>
            </w:r>
          </w:p>
          <w:p w:rsidR="000D11B1" w:rsidRPr="00BD5C81" w:rsidRDefault="000D11B1" w:rsidP="000D11B1">
            <w:pPr>
              <w:pStyle w:val="Default"/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BD5C81" w:rsidRDefault="000D11B1" w:rsidP="000D11B1">
            <w:pPr>
              <w:pStyle w:val="Default"/>
            </w:pPr>
            <w:r>
              <w:t>Evidencija o sudjelovanju u navedenim uredništvima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4.5.5. Pokretanje združenih studijskih programa na međunarodnoj razini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>
              <w:t>Osmišljen i pokrenut združeni studijski program</w:t>
            </w:r>
          </w:p>
          <w:p w:rsidR="000D11B1" w:rsidRPr="00BD5C81" w:rsidRDefault="000D11B1" w:rsidP="000D11B1">
            <w:pPr>
              <w:pStyle w:val="Default"/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BD5C81" w:rsidRDefault="000D11B1" w:rsidP="000D11B1">
            <w:pPr>
              <w:pStyle w:val="Default"/>
            </w:pPr>
            <w:r>
              <w:t>Odobren združeni studijski program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Pročelnica Odjela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pročelnice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 Informiranje nastavnika i studenata o uvjetima mobilnosti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BD5C81" w:rsidRDefault="000D11B1" w:rsidP="000D11B1">
            <w:pPr>
              <w:pStyle w:val="Default"/>
            </w:pPr>
            <w:r>
              <w:t>Broj organiziranih radionica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BD5C81" w:rsidRDefault="000D11B1" w:rsidP="000D11B1">
            <w:pPr>
              <w:pStyle w:val="Default"/>
            </w:pPr>
            <w:r>
              <w:t xml:space="preserve">Evidencija o organiziranim radionicama 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koordinator na Odjelu i Sveučilištu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Kontinuirano 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4.5.7. Povećanje broja nastavnika i studenata koji sudjeluju u razmjeni.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7D7E59" w:rsidRDefault="000D11B1" w:rsidP="000D11B1">
            <w:pPr>
              <w:pStyle w:val="Default"/>
            </w:pPr>
            <w:r w:rsidRPr="007D7E59">
              <w:t xml:space="preserve">Broj nastavnika i studenata koji sudjeluju u razmjeni. 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7D7E59">
              <w:t>Evidencija nastavnika i stude</w:t>
            </w:r>
            <w:r>
              <w:t>nata koji sudjeluju u razmjeni</w:t>
            </w:r>
          </w:p>
          <w:p w:rsidR="000D11B1" w:rsidRPr="007D7E59" w:rsidRDefault="000D11B1" w:rsidP="000D11B1">
            <w:pPr>
              <w:pStyle w:val="Default"/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koordinator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Pr="00DA731D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1D">
              <w:rPr>
                <w:rFonts w:ascii="Times New Roman" w:hAnsi="Times New Roman" w:cs="Times New Roman"/>
                <w:sz w:val="24"/>
                <w:szCs w:val="24"/>
              </w:rPr>
              <w:t>4.5.8. Povećanje broja predmeta koji se izvode na stranom jeziku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DA731D" w:rsidRDefault="000D11B1" w:rsidP="000D11B1">
            <w:pPr>
              <w:pStyle w:val="Default"/>
            </w:pPr>
            <w:r w:rsidRPr="00DA731D">
              <w:t>Broj predmeta koji se izvode na stranom jeziku</w:t>
            </w:r>
          </w:p>
          <w:p w:rsidR="000D11B1" w:rsidRPr="00DA731D" w:rsidRDefault="000D11B1" w:rsidP="000D11B1">
            <w:pPr>
              <w:pStyle w:val="Default"/>
            </w:pP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DA731D" w:rsidRDefault="000D11B1" w:rsidP="000D11B1">
            <w:pPr>
              <w:pStyle w:val="Default"/>
            </w:pPr>
            <w:r w:rsidRPr="00DA731D">
              <w:t xml:space="preserve">Usporedba s prethodnim razdobljem </w:t>
            </w:r>
          </w:p>
          <w:p w:rsidR="000D11B1" w:rsidRPr="00DA731D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Pr="00DA731D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31D">
              <w:rPr>
                <w:rFonts w:ascii="Times New Roman" w:hAnsi="Times New Roman" w:cs="Times New Roman"/>
                <w:sz w:val="24"/>
                <w:szCs w:val="24"/>
              </w:rPr>
              <w:t>Svi nastavnici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>
              <w:t xml:space="preserve">4.5.9. Brošura o Odjelu  na engleskom jeziku.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Otisnuta brošura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7D7E59" w:rsidRDefault="000D11B1" w:rsidP="000D11B1">
            <w:pPr>
              <w:pStyle w:val="Default"/>
            </w:pPr>
            <w:r w:rsidRPr="007D7E59">
              <w:t>Usp</w:t>
            </w:r>
            <w:r>
              <w:t>oredba s prethodnim razdobljem</w:t>
            </w:r>
          </w:p>
          <w:p w:rsidR="000D11B1" w:rsidRPr="007D7E5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koordinator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>
              <w:t>4.5.10.  Engleska verzija web stranice Odjela.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Izrađena web stranica na engleskom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7D7E59">
              <w:t>Usp</w:t>
            </w:r>
            <w:r>
              <w:t>oredba s prethodnim razdobljem</w:t>
            </w:r>
          </w:p>
          <w:p w:rsidR="000D11B1" w:rsidRPr="007D7E59" w:rsidRDefault="000D11B1" w:rsidP="000D11B1">
            <w:pPr>
              <w:pStyle w:val="Default"/>
            </w:pPr>
          </w:p>
          <w:p w:rsidR="000D11B1" w:rsidRPr="007D7E5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 koordinator</w:t>
            </w:r>
          </w:p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administrator na Odjelu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</w:tbl>
    <w:p w:rsidR="000D11B1" w:rsidRDefault="000D11B1" w:rsidP="000D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11B1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4.6. Unaprjeđenje Sustava osiguravanja kvalitete </w:t>
      </w:r>
    </w:p>
    <w:p w:rsidR="000D11B1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TableGrid"/>
        <w:tblW w:w="9037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8"/>
        <w:gridCol w:w="1634"/>
        <w:gridCol w:w="1756"/>
        <w:gridCol w:w="1745"/>
        <w:gridCol w:w="1444"/>
      </w:tblGrid>
      <w:tr w:rsidR="000D11B1" w:rsidTr="000D11B1">
        <w:tc>
          <w:tcPr>
            <w:tcW w:w="2458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Strateški specifični cilj</w:t>
            </w:r>
          </w:p>
        </w:tc>
        <w:tc>
          <w:tcPr>
            <w:tcW w:w="163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Ključni pokazatelji</w:t>
            </w:r>
          </w:p>
        </w:tc>
        <w:tc>
          <w:tcPr>
            <w:tcW w:w="1756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Mehanizmi praćenja</w:t>
            </w:r>
          </w:p>
        </w:tc>
        <w:tc>
          <w:tcPr>
            <w:tcW w:w="1745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</w:t>
            </w:r>
          </w:p>
        </w:tc>
        <w:tc>
          <w:tcPr>
            <w:tcW w:w="1444" w:type="dxa"/>
            <w:shd w:val="pct15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provedbe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>
              <w:t>4.</w:t>
            </w:r>
            <w:r w:rsidRPr="004843A9">
              <w:t>6.1</w:t>
            </w:r>
            <w:r>
              <w:t>. Provođenje studentskih anketa</w:t>
            </w:r>
            <w:r w:rsidRPr="004843A9">
              <w:t xml:space="preserve">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>
              <w:t>Provedene studentske ankete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 w:rsidRPr="004843A9">
              <w:t>Evidenc</w:t>
            </w:r>
            <w:r>
              <w:t>ija i analiza provedenih anketa</w:t>
            </w:r>
            <w:r w:rsidRPr="004843A9">
              <w:t xml:space="preserve"> 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 w:rsidRPr="004843A9">
              <w:t>Ured za kvalitetu</w:t>
            </w:r>
          </w:p>
          <w:p w:rsidR="000D11B1" w:rsidRPr="004843A9" w:rsidRDefault="000D11B1" w:rsidP="000D11B1">
            <w:pPr>
              <w:pStyle w:val="Default"/>
            </w:pPr>
            <w:r w:rsidRPr="004843A9">
              <w:t xml:space="preserve">Odjelni koordinator za kvalitetu 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3A9">
              <w:rPr>
                <w:rFonts w:ascii="Times New Roman" w:hAnsi="Times New Roman" w:cs="Times New Roman"/>
                <w:sz w:val="24"/>
                <w:szCs w:val="24"/>
              </w:rPr>
              <w:t>Krajem svakog semestra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>
              <w:t>4.</w:t>
            </w:r>
            <w:r w:rsidRPr="004843A9">
              <w:t>6.2. Praćenje uspješn</w:t>
            </w:r>
            <w:r>
              <w:t>osti studenata tijekom studija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 w:rsidRPr="004843A9">
              <w:t xml:space="preserve">Broj studenata uključenih u sustavno praćenje uspješnosti. 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 w:rsidRPr="004843A9">
              <w:t xml:space="preserve">Sustavne evidencije i analize uspješnosti studenata. </w:t>
            </w: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3A9">
              <w:rPr>
                <w:rFonts w:ascii="Times New Roman" w:hAnsi="Times New Roman" w:cs="Times New Roman"/>
                <w:sz w:val="24"/>
                <w:szCs w:val="24"/>
              </w:rPr>
              <w:t xml:space="preserve">Odjelni koordinator za kvalitetu 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3A9">
              <w:rPr>
                <w:rFonts w:ascii="Times New Roman" w:hAnsi="Times New Roman" w:cs="Times New Roman"/>
                <w:sz w:val="24"/>
                <w:szCs w:val="24"/>
              </w:rPr>
              <w:t>Početkom akademske godine</w:t>
            </w: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>
              <w:t>4.</w:t>
            </w:r>
            <w:r w:rsidRPr="004843A9">
              <w:t>6.3.Praćenje stope zapošl</w:t>
            </w:r>
            <w:r>
              <w:t>javanja diplomiranih studenata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 w:rsidRPr="004843A9">
              <w:t>Izvj</w:t>
            </w:r>
            <w:r>
              <w:t>ešća o zapošljivosti studenata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Default"/>
            </w:pPr>
            <w:r w:rsidRPr="004843A9">
              <w:t xml:space="preserve">Evidencije o učestalosti praćenja zapošljivosti </w:t>
            </w:r>
          </w:p>
          <w:p w:rsidR="000D11B1" w:rsidRPr="004843A9" w:rsidRDefault="000D11B1" w:rsidP="000D11B1">
            <w:pPr>
              <w:pStyle w:val="Default"/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3A9">
              <w:rPr>
                <w:rFonts w:ascii="Times New Roman" w:hAnsi="Times New Roman" w:cs="Times New Roman"/>
                <w:sz w:val="24"/>
                <w:szCs w:val="24"/>
              </w:rPr>
              <w:t>Odjelni koordinator za kvalitetu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1B1" w:rsidTr="000D11B1">
        <w:tc>
          <w:tcPr>
            <w:tcW w:w="2458" w:type="dxa"/>
            <w:shd w:val="clear" w:color="auto" w:fill="auto"/>
            <w:tcMar>
              <w:left w:w="103" w:type="dxa"/>
            </w:tcMar>
          </w:tcPr>
          <w:p w:rsidR="000D11B1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843A9">
              <w:rPr>
                <w:rFonts w:ascii="Times New Roman" w:hAnsi="Times New Roman" w:cs="Times New Roman"/>
                <w:sz w:val="24"/>
                <w:szCs w:val="24"/>
              </w:rPr>
              <w:t>6.4. Revidiranje pravilnika, poslovnika i priručnika za kvalitetu</w:t>
            </w:r>
          </w:p>
          <w:p w:rsidR="000D11B1" w:rsidRPr="004843A9" w:rsidRDefault="000D11B1" w:rsidP="000D11B1">
            <w:pPr>
              <w:pStyle w:val="ListParagraph"/>
              <w:tabs>
                <w:tab w:val="center" w:pos="112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Default"/>
            </w:pPr>
            <w:r w:rsidRPr="004843A9">
              <w:t>Revidirani dokumenti</w:t>
            </w:r>
          </w:p>
        </w:tc>
        <w:tc>
          <w:tcPr>
            <w:tcW w:w="1756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3A9">
              <w:rPr>
                <w:rFonts w:ascii="Times New Roman" w:hAnsi="Times New Roman" w:cs="Times New Roman"/>
                <w:sz w:val="24"/>
                <w:szCs w:val="24"/>
              </w:rPr>
              <w:t>Odjelni koordinator za kvalitetu</w:t>
            </w:r>
          </w:p>
        </w:tc>
        <w:tc>
          <w:tcPr>
            <w:tcW w:w="1444" w:type="dxa"/>
            <w:shd w:val="clear" w:color="auto" w:fill="auto"/>
            <w:tcMar>
              <w:left w:w="103" w:type="dxa"/>
            </w:tcMar>
          </w:tcPr>
          <w:p w:rsidR="000D11B1" w:rsidRPr="004843A9" w:rsidRDefault="000D11B1" w:rsidP="000D11B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1B1" w:rsidRDefault="000D11B1" w:rsidP="000D11B1">
      <w:pPr>
        <w:spacing w:after="0" w:line="240" w:lineRule="auto"/>
        <w:jc w:val="center"/>
      </w:pPr>
    </w:p>
    <w:p w:rsidR="000D11B1" w:rsidRPr="00BD19C3" w:rsidRDefault="000D11B1" w:rsidP="000D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11" w:rsidRDefault="005A4111" w:rsidP="005A4111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5A4111" w:rsidSect="009024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CC" w:rsidRDefault="008F75CC" w:rsidP="001F0597">
      <w:pPr>
        <w:spacing w:after="0" w:line="240" w:lineRule="auto"/>
      </w:pPr>
      <w:r>
        <w:separator/>
      </w:r>
    </w:p>
  </w:endnote>
  <w:endnote w:type="continuationSeparator" w:id="0">
    <w:p w:rsidR="008F75CC" w:rsidRDefault="008F75CC" w:rsidP="001F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ans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B1" w:rsidRDefault="000D1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581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1B1" w:rsidRDefault="000D11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92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D11B1" w:rsidRDefault="000D1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B1" w:rsidRDefault="000D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CC" w:rsidRDefault="008F75CC" w:rsidP="001F0597">
      <w:pPr>
        <w:spacing w:after="0" w:line="240" w:lineRule="auto"/>
      </w:pPr>
      <w:r>
        <w:separator/>
      </w:r>
    </w:p>
  </w:footnote>
  <w:footnote w:type="continuationSeparator" w:id="0">
    <w:p w:rsidR="008F75CC" w:rsidRDefault="008F75CC" w:rsidP="001F0597">
      <w:pPr>
        <w:spacing w:after="0" w:line="240" w:lineRule="auto"/>
      </w:pPr>
      <w:r>
        <w:continuationSeparator/>
      </w:r>
    </w:p>
  </w:footnote>
  <w:footnote w:id="1">
    <w:p w:rsidR="00901141" w:rsidRPr="00181580" w:rsidRDefault="00901141" w:rsidP="00901141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 w:rsidRPr="00181580">
        <w:rPr>
          <w:lang w:val="hr-HR"/>
        </w:rPr>
        <w:t xml:space="preserve">U školskoj godini 1963/64 prvi put se uvodi studijska grupa </w:t>
      </w:r>
      <w:r w:rsidRPr="00181580">
        <w:rPr>
          <w:b/>
          <w:lang w:val="hr-HR"/>
        </w:rPr>
        <w:t xml:space="preserve">Razredna nastava </w:t>
      </w:r>
      <w:r w:rsidRPr="00181580">
        <w:rPr>
          <w:lang w:val="hr-HR"/>
        </w:rPr>
        <w:t>na Pedagoškoj akademiji u Zadru. Razredna nastava se nije organizirala kao jednopredmetni studij već se kombinirala s matematikom i hrvatskim jezikom.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B1" w:rsidRDefault="000D1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B1" w:rsidRDefault="000D11B1">
    <w:pPr>
      <w:pStyle w:val="Header"/>
    </w:pPr>
    <w:r w:rsidRPr="00F63E2D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04016834" wp14:editId="45074F35">
          <wp:extent cx="5788630" cy="1513517"/>
          <wp:effectExtent l="0" t="0" r="3175" b="0"/>
          <wp:docPr id="1" name="Picture 1" descr="memo ucitel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ucitel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515" cy="1514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B1" w:rsidRDefault="000D1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93B"/>
    <w:multiLevelType w:val="hybridMultilevel"/>
    <w:tmpl w:val="BB7C23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D245B"/>
    <w:multiLevelType w:val="hybridMultilevel"/>
    <w:tmpl w:val="E5FEFA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48B"/>
    <w:multiLevelType w:val="hybridMultilevel"/>
    <w:tmpl w:val="3642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AB5"/>
    <w:multiLevelType w:val="hybridMultilevel"/>
    <w:tmpl w:val="202E07BA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641688"/>
    <w:multiLevelType w:val="hybridMultilevel"/>
    <w:tmpl w:val="36DE3AE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4934FD2"/>
    <w:multiLevelType w:val="hybridMultilevel"/>
    <w:tmpl w:val="DC30CD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4707"/>
    <w:multiLevelType w:val="hybridMultilevel"/>
    <w:tmpl w:val="1F1E0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3291"/>
    <w:multiLevelType w:val="hybridMultilevel"/>
    <w:tmpl w:val="4F2EF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561"/>
    <w:multiLevelType w:val="hybridMultilevel"/>
    <w:tmpl w:val="0DDACF7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4DF8"/>
    <w:multiLevelType w:val="hybridMultilevel"/>
    <w:tmpl w:val="EE82ACCA"/>
    <w:lvl w:ilvl="0" w:tplc="16EE02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15D1"/>
    <w:multiLevelType w:val="hybridMultilevel"/>
    <w:tmpl w:val="54AA6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7182"/>
    <w:multiLevelType w:val="hybridMultilevel"/>
    <w:tmpl w:val="7A904F12"/>
    <w:lvl w:ilvl="0" w:tplc="928EEAD4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2667B6E"/>
    <w:multiLevelType w:val="hybridMultilevel"/>
    <w:tmpl w:val="0FAA532A"/>
    <w:lvl w:ilvl="0" w:tplc="90F0C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D36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4F0246"/>
    <w:multiLevelType w:val="hybridMultilevel"/>
    <w:tmpl w:val="B7A839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51E5E"/>
    <w:multiLevelType w:val="hybridMultilevel"/>
    <w:tmpl w:val="9F6C9754"/>
    <w:lvl w:ilvl="0" w:tplc="1B8656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21C3C"/>
    <w:multiLevelType w:val="hybridMultilevel"/>
    <w:tmpl w:val="C570E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12F60"/>
    <w:multiLevelType w:val="hybridMultilevel"/>
    <w:tmpl w:val="8A44D8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803FC"/>
    <w:multiLevelType w:val="hybridMultilevel"/>
    <w:tmpl w:val="30C41E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6356A"/>
    <w:multiLevelType w:val="hybridMultilevel"/>
    <w:tmpl w:val="E0B400B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4647C"/>
    <w:multiLevelType w:val="hybridMultilevel"/>
    <w:tmpl w:val="BB2C016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4163E"/>
    <w:multiLevelType w:val="hybridMultilevel"/>
    <w:tmpl w:val="E1BA5A8E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A44328"/>
    <w:multiLevelType w:val="hybridMultilevel"/>
    <w:tmpl w:val="C3621882"/>
    <w:lvl w:ilvl="0" w:tplc="30C69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23FF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7E237B"/>
    <w:multiLevelType w:val="hybridMultilevel"/>
    <w:tmpl w:val="A5D8E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5B68"/>
    <w:multiLevelType w:val="hybridMultilevel"/>
    <w:tmpl w:val="CD1644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1"/>
  </w:num>
  <w:num w:numId="6">
    <w:abstractNumId w:val="16"/>
  </w:num>
  <w:num w:numId="7">
    <w:abstractNumId w:val="12"/>
  </w:num>
  <w:num w:numId="8">
    <w:abstractNumId w:val="9"/>
  </w:num>
  <w:num w:numId="9">
    <w:abstractNumId w:val="22"/>
  </w:num>
  <w:num w:numId="10">
    <w:abstractNumId w:val="13"/>
  </w:num>
  <w:num w:numId="11">
    <w:abstractNumId w:val="23"/>
  </w:num>
  <w:num w:numId="12">
    <w:abstractNumId w:val="19"/>
  </w:num>
  <w:num w:numId="13">
    <w:abstractNumId w:val="25"/>
  </w:num>
  <w:num w:numId="14">
    <w:abstractNumId w:val="24"/>
  </w:num>
  <w:num w:numId="15">
    <w:abstractNumId w:val="0"/>
  </w:num>
  <w:num w:numId="16">
    <w:abstractNumId w:val="17"/>
  </w:num>
  <w:num w:numId="17">
    <w:abstractNumId w:val="2"/>
  </w:num>
  <w:num w:numId="18">
    <w:abstractNumId w:val="20"/>
  </w:num>
  <w:num w:numId="19">
    <w:abstractNumId w:val="3"/>
  </w:num>
  <w:num w:numId="20">
    <w:abstractNumId w:val="21"/>
  </w:num>
  <w:num w:numId="21">
    <w:abstractNumId w:val="1"/>
  </w:num>
  <w:num w:numId="22">
    <w:abstractNumId w:val="18"/>
  </w:num>
  <w:num w:numId="23">
    <w:abstractNumId w:val="5"/>
  </w:num>
  <w:num w:numId="24">
    <w:abstractNumId w:val="14"/>
  </w:num>
  <w:num w:numId="25">
    <w:abstractNumId w:val="15"/>
  </w:num>
  <w:num w:numId="26">
    <w:abstractNumId w:val="7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597"/>
    <w:rsid w:val="00007B05"/>
    <w:rsid w:val="00046BD8"/>
    <w:rsid w:val="0007143C"/>
    <w:rsid w:val="00074439"/>
    <w:rsid w:val="00085BF9"/>
    <w:rsid w:val="00087D51"/>
    <w:rsid w:val="00094345"/>
    <w:rsid w:val="000A7AAA"/>
    <w:rsid w:val="000B0D88"/>
    <w:rsid w:val="000C0E40"/>
    <w:rsid w:val="000D11B1"/>
    <w:rsid w:val="000D147C"/>
    <w:rsid w:val="000D7C90"/>
    <w:rsid w:val="000F2670"/>
    <w:rsid w:val="000F3068"/>
    <w:rsid w:val="00111B4D"/>
    <w:rsid w:val="001271D7"/>
    <w:rsid w:val="00127341"/>
    <w:rsid w:val="0013214A"/>
    <w:rsid w:val="001323A4"/>
    <w:rsid w:val="001744FA"/>
    <w:rsid w:val="00181694"/>
    <w:rsid w:val="00191E13"/>
    <w:rsid w:val="001A1C48"/>
    <w:rsid w:val="001B47F0"/>
    <w:rsid w:val="001B6BF3"/>
    <w:rsid w:val="001B71B8"/>
    <w:rsid w:val="001D3E68"/>
    <w:rsid w:val="001F0597"/>
    <w:rsid w:val="001F58B2"/>
    <w:rsid w:val="00221E5F"/>
    <w:rsid w:val="00222E33"/>
    <w:rsid w:val="002346A9"/>
    <w:rsid w:val="00292732"/>
    <w:rsid w:val="00294244"/>
    <w:rsid w:val="002B0702"/>
    <w:rsid w:val="002D3555"/>
    <w:rsid w:val="0032019D"/>
    <w:rsid w:val="0032467E"/>
    <w:rsid w:val="00332A19"/>
    <w:rsid w:val="00337FC9"/>
    <w:rsid w:val="003402B6"/>
    <w:rsid w:val="00355E8C"/>
    <w:rsid w:val="003655B1"/>
    <w:rsid w:val="003C3085"/>
    <w:rsid w:val="003E60B8"/>
    <w:rsid w:val="004140F0"/>
    <w:rsid w:val="004160BE"/>
    <w:rsid w:val="0043661D"/>
    <w:rsid w:val="0044484C"/>
    <w:rsid w:val="0047440D"/>
    <w:rsid w:val="00481044"/>
    <w:rsid w:val="004D0221"/>
    <w:rsid w:val="004E192F"/>
    <w:rsid w:val="004F1182"/>
    <w:rsid w:val="005072FF"/>
    <w:rsid w:val="005311D5"/>
    <w:rsid w:val="0053426D"/>
    <w:rsid w:val="005463D1"/>
    <w:rsid w:val="0056293C"/>
    <w:rsid w:val="005738F2"/>
    <w:rsid w:val="005838CE"/>
    <w:rsid w:val="00585E4C"/>
    <w:rsid w:val="005A4111"/>
    <w:rsid w:val="005C6A33"/>
    <w:rsid w:val="005E0649"/>
    <w:rsid w:val="0062334B"/>
    <w:rsid w:val="00652A70"/>
    <w:rsid w:val="00656FA7"/>
    <w:rsid w:val="00662428"/>
    <w:rsid w:val="0067579F"/>
    <w:rsid w:val="006B03EB"/>
    <w:rsid w:val="006B7670"/>
    <w:rsid w:val="006C05FA"/>
    <w:rsid w:val="006C7010"/>
    <w:rsid w:val="006D07E1"/>
    <w:rsid w:val="006D4A59"/>
    <w:rsid w:val="006F38FD"/>
    <w:rsid w:val="0072235C"/>
    <w:rsid w:val="00747810"/>
    <w:rsid w:val="00752BAE"/>
    <w:rsid w:val="00755B60"/>
    <w:rsid w:val="007777FF"/>
    <w:rsid w:val="00791E4A"/>
    <w:rsid w:val="007943A6"/>
    <w:rsid w:val="007B2EC5"/>
    <w:rsid w:val="007C6394"/>
    <w:rsid w:val="008024C6"/>
    <w:rsid w:val="00807882"/>
    <w:rsid w:val="008670EA"/>
    <w:rsid w:val="008C4142"/>
    <w:rsid w:val="008E1E61"/>
    <w:rsid w:val="008E21E4"/>
    <w:rsid w:val="008E62E8"/>
    <w:rsid w:val="008F75CC"/>
    <w:rsid w:val="00901141"/>
    <w:rsid w:val="00902491"/>
    <w:rsid w:val="009045AF"/>
    <w:rsid w:val="009379B6"/>
    <w:rsid w:val="0094609A"/>
    <w:rsid w:val="00946971"/>
    <w:rsid w:val="00966C4A"/>
    <w:rsid w:val="00982A30"/>
    <w:rsid w:val="00984568"/>
    <w:rsid w:val="00994605"/>
    <w:rsid w:val="009A485F"/>
    <w:rsid w:val="009D6E1B"/>
    <w:rsid w:val="009E62AD"/>
    <w:rsid w:val="009F5294"/>
    <w:rsid w:val="00A040CD"/>
    <w:rsid w:val="00A16798"/>
    <w:rsid w:val="00A21562"/>
    <w:rsid w:val="00A23C19"/>
    <w:rsid w:val="00A43219"/>
    <w:rsid w:val="00A57EC4"/>
    <w:rsid w:val="00A650CE"/>
    <w:rsid w:val="00A7360E"/>
    <w:rsid w:val="00AF1474"/>
    <w:rsid w:val="00B02196"/>
    <w:rsid w:val="00B03C53"/>
    <w:rsid w:val="00B45296"/>
    <w:rsid w:val="00B46D8C"/>
    <w:rsid w:val="00B5744F"/>
    <w:rsid w:val="00B60FB1"/>
    <w:rsid w:val="00B61BDD"/>
    <w:rsid w:val="00B734B2"/>
    <w:rsid w:val="00BD26F7"/>
    <w:rsid w:val="00BD28BD"/>
    <w:rsid w:val="00BE114C"/>
    <w:rsid w:val="00C50A9F"/>
    <w:rsid w:val="00C668E2"/>
    <w:rsid w:val="00CA5DBA"/>
    <w:rsid w:val="00CA6CC3"/>
    <w:rsid w:val="00D13869"/>
    <w:rsid w:val="00D273C8"/>
    <w:rsid w:val="00D3626B"/>
    <w:rsid w:val="00D40C36"/>
    <w:rsid w:val="00D41BE1"/>
    <w:rsid w:val="00D4526C"/>
    <w:rsid w:val="00D56833"/>
    <w:rsid w:val="00D62191"/>
    <w:rsid w:val="00D87C7F"/>
    <w:rsid w:val="00DA1FF4"/>
    <w:rsid w:val="00DB523F"/>
    <w:rsid w:val="00DD3A9E"/>
    <w:rsid w:val="00DD7198"/>
    <w:rsid w:val="00DF19D9"/>
    <w:rsid w:val="00E108F0"/>
    <w:rsid w:val="00E322D5"/>
    <w:rsid w:val="00E345BB"/>
    <w:rsid w:val="00E41C05"/>
    <w:rsid w:val="00E56F26"/>
    <w:rsid w:val="00E571D0"/>
    <w:rsid w:val="00EA5DD5"/>
    <w:rsid w:val="00EB2A7A"/>
    <w:rsid w:val="00EC573C"/>
    <w:rsid w:val="00EE048C"/>
    <w:rsid w:val="00EE4EB6"/>
    <w:rsid w:val="00EF1AB2"/>
    <w:rsid w:val="00EF5D3F"/>
    <w:rsid w:val="00F03BBD"/>
    <w:rsid w:val="00F3394E"/>
    <w:rsid w:val="00F34814"/>
    <w:rsid w:val="00F73BD7"/>
    <w:rsid w:val="00F97802"/>
    <w:rsid w:val="00FB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731C6-44DC-4BED-BB24-422C0D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568"/>
  </w:style>
  <w:style w:type="paragraph" w:styleId="Heading1">
    <w:name w:val="heading 1"/>
    <w:basedOn w:val="Normal"/>
    <w:next w:val="Normal"/>
    <w:link w:val="Heading1Char"/>
    <w:uiPriority w:val="9"/>
    <w:qFormat/>
    <w:rsid w:val="00071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97"/>
  </w:style>
  <w:style w:type="paragraph" w:styleId="Footer">
    <w:name w:val="footer"/>
    <w:basedOn w:val="Normal"/>
    <w:link w:val="FooterChar"/>
    <w:uiPriority w:val="99"/>
    <w:unhideWhenUsed/>
    <w:rsid w:val="001F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97"/>
  </w:style>
  <w:style w:type="paragraph" w:styleId="ListParagraph">
    <w:name w:val="List Paragraph"/>
    <w:basedOn w:val="Normal"/>
    <w:uiPriority w:val="34"/>
    <w:qFormat/>
    <w:rsid w:val="00D1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1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43C"/>
    <w:pPr>
      <w:spacing w:line="276" w:lineRule="auto"/>
      <w:outlineLvl w:val="9"/>
    </w:pPr>
    <w:rPr>
      <w:lang w:val="en-US" w:eastAsia="ja-JP"/>
    </w:rPr>
  </w:style>
  <w:style w:type="paragraph" w:styleId="FootnoteText">
    <w:name w:val="footnote text"/>
    <w:basedOn w:val="Normal"/>
    <w:link w:val="FootnoteTextChar"/>
    <w:semiHidden/>
    <w:rsid w:val="00340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3402B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semiHidden/>
    <w:rsid w:val="003402B6"/>
    <w:rPr>
      <w:vertAlign w:val="superscript"/>
    </w:rPr>
  </w:style>
  <w:style w:type="table" w:styleId="TableGrid">
    <w:name w:val="Table Grid"/>
    <w:basedOn w:val="TableNormal"/>
    <w:uiPriority w:val="59"/>
    <w:rsid w:val="005A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5311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11D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311D5"/>
  </w:style>
  <w:style w:type="paragraph" w:customStyle="1" w:styleId="Odlomakpopisa">
    <w:name w:val="Odlomak popisa"/>
    <w:basedOn w:val="Normal"/>
    <w:uiPriority w:val="34"/>
    <w:qFormat/>
    <w:rsid w:val="000C0E40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57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zd.hr/Portals/50/kvaliteta/Poslovnik%20za%20osiguranje%20kvalitete.doc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unizd.hr/Portals/50/kvaliteta/Odjelni%20prirucnik%20za%20kvalitetu.do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.irb.hr/prikazi-rad?&amp;rad=669070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unizd.hr/Portals/50/kvaliteta/pravilnik%20kvaliteta.doc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cindric@unizd.hr\Documents\statistika%20upisani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29855643044619E-2"/>
          <c:y val="0.10185185185185185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8"/>
            <c:extLst>
              <c:ext xmlns:c16="http://schemas.microsoft.com/office/drawing/2014/chart" uri="{C3380CC4-5D6E-409C-BE32-E72D297353CC}">
                <c16:uniqueId val="{00000000-10E7-4A5C-BB18-9FC4129E82EC}"/>
              </c:ext>
            </c:extLst>
          </c:dPt>
          <c:cat>
            <c:strRef>
              <c:f>Sheet1!$C$5:$V$5</c:f>
              <c:strCache>
                <c:ptCount val="20"/>
                <c:pt idx="0">
                  <c:v>Zadarska</c:v>
                </c:pt>
                <c:pt idx="1">
                  <c:v>Zagrebačka</c:v>
                </c:pt>
                <c:pt idx="2">
                  <c:v>Dubrovačko Neretvanska</c:v>
                </c:pt>
                <c:pt idx="3">
                  <c:v>Splitsko dalmatinska</c:v>
                </c:pt>
                <c:pt idx="4">
                  <c:v>Šibensko kninska</c:v>
                </c:pt>
                <c:pt idx="5">
                  <c:v>Osječko baranjska</c:v>
                </c:pt>
                <c:pt idx="6">
                  <c:v>Vukovarsko srijemska</c:v>
                </c:pt>
                <c:pt idx="7">
                  <c:v>Virovitičko podravska</c:v>
                </c:pt>
                <c:pt idx="8">
                  <c:v>Požeško slavonska</c:v>
                </c:pt>
                <c:pt idx="9">
                  <c:v>Brodsko posavska</c:v>
                </c:pt>
                <c:pt idx="10">
                  <c:v>Međimurska</c:v>
                </c:pt>
                <c:pt idx="11">
                  <c:v>Varaždinska</c:v>
                </c:pt>
                <c:pt idx="12">
                  <c:v>Bjelovarsko bilogorska</c:v>
                </c:pt>
                <c:pt idx="13">
                  <c:v>Sisačko moslavačka</c:v>
                </c:pt>
                <c:pt idx="14">
                  <c:v>Karlovačka</c:v>
                </c:pt>
                <c:pt idx="15">
                  <c:v>Koprivničko križevačka</c:v>
                </c:pt>
                <c:pt idx="16">
                  <c:v>Krapinsko zagorska</c:v>
                </c:pt>
                <c:pt idx="17">
                  <c:v>Primorsko goranska</c:v>
                </c:pt>
                <c:pt idx="18">
                  <c:v>Istarska</c:v>
                </c:pt>
                <c:pt idx="19">
                  <c:v>Ličko senjska</c:v>
                </c:pt>
              </c:strCache>
            </c:strRef>
          </c:cat>
          <c:val>
            <c:numRef>
              <c:f>Sheet1!$C$6:$V$6</c:f>
              <c:numCache>
                <c:formatCode>General</c:formatCode>
                <c:ptCount val="20"/>
                <c:pt idx="0">
                  <c:v>14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E7-4A5C-BB18-9FC4129E8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D5E6A7-6210-4D24-B385-0AFCE7B1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 razdoblje 2018. – 2023</dc:subject>
  <dc:creator>ematassi</dc:creator>
  <cp:lastModifiedBy>Maja Cindric</cp:lastModifiedBy>
  <cp:revision>3</cp:revision>
  <cp:lastPrinted>2018-10-09T09:40:00Z</cp:lastPrinted>
  <dcterms:created xsi:type="dcterms:W3CDTF">2018-11-09T12:49:00Z</dcterms:created>
  <dcterms:modified xsi:type="dcterms:W3CDTF">2018-11-09T13:47:00Z</dcterms:modified>
</cp:coreProperties>
</file>