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193"/>
        <w:gridCol w:w="425"/>
        <w:gridCol w:w="425"/>
        <w:gridCol w:w="426"/>
        <w:gridCol w:w="113"/>
        <w:gridCol w:w="312"/>
        <w:gridCol w:w="614"/>
        <w:gridCol w:w="185"/>
        <w:gridCol w:w="278"/>
        <w:gridCol w:w="6"/>
        <w:gridCol w:w="945"/>
        <w:gridCol w:w="47"/>
        <w:gridCol w:w="391"/>
        <w:gridCol w:w="463"/>
        <w:gridCol w:w="926"/>
        <w:gridCol w:w="318"/>
        <w:gridCol w:w="1021"/>
      </w:tblGrid>
      <w:tr w:rsidR="00D829A9" w:rsidRPr="00D829A9" w:rsidTr="00AA5AA6">
        <w:trPr>
          <w:trHeight w:val="178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829A9" w:rsidRPr="00D829A9" w:rsidRDefault="00D829A9" w:rsidP="00D829A9">
            <w:pPr>
              <w:pBdr>
                <w:bottom w:val="single" w:sz="12" w:space="1" w:color="365F91"/>
              </w:pBdr>
              <w:spacing w:after="0" w:line="360" w:lineRule="auto"/>
              <w:jc w:val="both"/>
              <w:outlineLvl w:val="0"/>
              <w:rPr>
                <w:rFonts w:ascii="Calibri" w:eastAsia="Times New Roman" w:hAnsi="Calibri" w:cs="Calibri"/>
                <w:b/>
                <w:bCs/>
                <w:color w:val="365F91"/>
              </w:rPr>
            </w:pPr>
            <w:r w:rsidRPr="00D829A9">
              <w:rPr>
                <w:rFonts w:ascii="Calibri" w:eastAsia="Times New Roman" w:hAnsi="Calibri" w:cs="Calibri"/>
                <w:b/>
                <w:bCs/>
                <w:color w:val="365F91"/>
              </w:rPr>
              <w:t>Naziv predmeta</w:t>
            </w:r>
          </w:p>
        </w:tc>
        <w:tc>
          <w:tcPr>
            <w:tcW w:w="6895" w:type="dxa"/>
            <w:gridSpan w:val="16"/>
            <w:vAlign w:val="center"/>
          </w:tcPr>
          <w:p w:rsidR="00D829A9" w:rsidRPr="00D829A9" w:rsidRDefault="00D829A9" w:rsidP="00D829A9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D829A9">
              <w:rPr>
                <w:rFonts w:ascii="Calibri" w:eastAsia="Times New Roman" w:hAnsi="Calibri" w:cs="Calibri"/>
                <w:b/>
              </w:rPr>
              <w:t>ENGLESKI JEZIK 2</w:t>
            </w:r>
          </w:p>
        </w:tc>
      </w:tr>
      <w:tr w:rsidR="00D829A9" w:rsidRPr="00D829A9" w:rsidTr="00AA5AA6">
        <w:tc>
          <w:tcPr>
            <w:tcW w:w="2603" w:type="dxa"/>
            <w:gridSpan w:val="2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2315" w:type="dxa"/>
            <w:gridSpan w:val="6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IKP 211</w:t>
            </w:r>
          </w:p>
        </w:tc>
        <w:tc>
          <w:tcPr>
            <w:tcW w:w="2315" w:type="dxa"/>
            <w:gridSpan w:val="7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2265" w:type="dxa"/>
            <w:gridSpan w:val="3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8  </w:t>
            </w:r>
          </w:p>
        </w:tc>
      </w:tr>
      <w:tr w:rsidR="00D829A9" w:rsidRPr="00D829A9" w:rsidTr="00AA5AA6">
        <w:tc>
          <w:tcPr>
            <w:tcW w:w="2603" w:type="dxa"/>
            <w:gridSpan w:val="2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2315" w:type="dxa"/>
            <w:gridSpan w:val="6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obvezni i izborni</w:t>
            </w:r>
          </w:p>
        </w:tc>
        <w:tc>
          <w:tcPr>
            <w:tcW w:w="2315" w:type="dxa"/>
            <w:gridSpan w:val="7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Akademska godina</w:t>
            </w:r>
          </w:p>
        </w:tc>
        <w:tc>
          <w:tcPr>
            <w:tcW w:w="2265" w:type="dxa"/>
            <w:gridSpan w:val="3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2017</w:t>
            </w: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/.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2018</w:t>
            </w: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.</w:t>
            </w:r>
          </w:p>
        </w:tc>
      </w:tr>
      <w:tr w:rsidR="00D829A9" w:rsidRPr="00D829A9" w:rsidTr="00AA5AA6">
        <w:trPr>
          <w:trHeight w:val="513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315" w:type="dxa"/>
            <w:gridSpan w:val="6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II.</w:t>
            </w:r>
          </w:p>
        </w:tc>
        <w:tc>
          <w:tcPr>
            <w:tcW w:w="2315" w:type="dxa"/>
            <w:gridSpan w:val="7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2265" w:type="dxa"/>
            <w:gridSpan w:val="3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III. i IV.</w:t>
            </w:r>
          </w:p>
        </w:tc>
      </w:tr>
      <w:tr w:rsidR="00D829A9" w:rsidRPr="00D829A9" w:rsidTr="00AA5AA6">
        <w:tc>
          <w:tcPr>
            <w:tcW w:w="2603" w:type="dxa"/>
            <w:gridSpan w:val="2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Jezik izvođenja predmeta</w:t>
            </w:r>
          </w:p>
        </w:tc>
        <w:tc>
          <w:tcPr>
            <w:tcW w:w="6895" w:type="dxa"/>
            <w:gridSpan w:val="16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engleski</w:t>
            </w:r>
          </w:p>
        </w:tc>
      </w:tr>
      <w:tr w:rsidR="00D829A9" w:rsidRPr="00D829A9" w:rsidTr="00AA5AA6">
        <w:tc>
          <w:tcPr>
            <w:tcW w:w="2603" w:type="dxa"/>
            <w:gridSpan w:val="2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Preduvjeti upisa/polaganja  predmeta</w:t>
            </w:r>
          </w:p>
        </w:tc>
        <w:tc>
          <w:tcPr>
            <w:tcW w:w="6895" w:type="dxa"/>
            <w:gridSpan w:val="16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829A9" w:rsidRPr="00D829A9" w:rsidTr="00AA5AA6">
        <w:tc>
          <w:tcPr>
            <w:tcW w:w="2603" w:type="dxa"/>
            <w:gridSpan w:val="2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Nositelj predmeta</w:t>
            </w:r>
          </w:p>
        </w:tc>
        <w:tc>
          <w:tcPr>
            <w:tcW w:w="6895" w:type="dxa"/>
            <w:gridSpan w:val="16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doc. dr. sc. Vlado Sušac</w:t>
            </w:r>
          </w:p>
        </w:tc>
      </w:tr>
      <w:tr w:rsidR="00D829A9" w:rsidRPr="00D829A9" w:rsidTr="00AA5AA6">
        <w:tc>
          <w:tcPr>
            <w:tcW w:w="2603" w:type="dxa"/>
            <w:gridSpan w:val="2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Suradnik na predmetu</w:t>
            </w:r>
          </w:p>
        </w:tc>
        <w:tc>
          <w:tcPr>
            <w:tcW w:w="6895" w:type="dxa"/>
            <w:gridSpan w:val="16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D829A9" w:rsidRPr="00D829A9" w:rsidTr="00AA5AA6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Vrste izvođenja  nastave</w:t>
            </w:r>
          </w:p>
        </w:tc>
        <w:tc>
          <w:tcPr>
            <w:tcW w:w="1389" w:type="dxa"/>
            <w:gridSpan w:val="4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Predavanja</w:t>
            </w:r>
          </w:p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Seminari</w:t>
            </w:r>
          </w:p>
        </w:tc>
        <w:tc>
          <w:tcPr>
            <w:tcW w:w="1383" w:type="dxa"/>
            <w:gridSpan w:val="3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Vježbe</w:t>
            </w:r>
          </w:p>
        </w:tc>
        <w:tc>
          <w:tcPr>
            <w:tcW w:w="1389" w:type="dxa"/>
            <w:gridSpan w:val="2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Terenska nastava</w:t>
            </w:r>
          </w:p>
        </w:tc>
        <w:tc>
          <w:tcPr>
            <w:tcW w:w="1339" w:type="dxa"/>
            <w:gridSpan w:val="2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Ostalo </w:t>
            </w:r>
          </w:p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(upisati)</w:t>
            </w:r>
          </w:p>
        </w:tc>
      </w:tr>
      <w:tr w:rsidR="00D829A9" w:rsidRPr="00D829A9" w:rsidTr="00AA5AA6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395" w:type="dxa"/>
            <w:gridSpan w:val="5"/>
            <w:shd w:val="clear" w:color="auto" w:fill="auto"/>
            <w:vAlign w:val="bottom"/>
          </w:tcPr>
          <w:p w:rsidR="00D829A9" w:rsidRPr="00D829A9" w:rsidRDefault="00D829A9" w:rsidP="00D829A9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shd w:val="clear" w:color="auto" w:fill="auto"/>
            <w:vAlign w:val="bottom"/>
          </w:tcPr>
          <w:p w:rsidR="00D829A9" w:rsidRPr="00D829A9" w:rsidRDefault="00D829A9" w:rsidP="00D829A9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D829A9" w:rsidRPr="00D829A9" w:rsidRDefault="00D829A9" w:rsidP="00D829A9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D829A9" w:rsidRPr="00D829A9" w:rsidRDefault="00D829A9" w:rsidP="00D829A9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829A9" w:rsidRPr="00D829A9" w:rsidTr="00AA5AA6">
        <w:tblPrEx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6895" w:type="dxa"/>
            <w:gridSpan w:val="16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Izvoditelj nastave</w:t>
            </w:r>
          </w:p>
        </w:tc>
      </w:tr>
      <w:tr w:rsidR="00D829A9" w:rsidRPr="00D829A9" w:rsidTr="00AA5AA6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nositelj</w:t>
            </w: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D829A9" w:rsidRPr="00D829A9" w:rsidRDefault="00D829A9" w:rsidP="00D829A9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D829A9" w:rsidRPr="00D829A9" w:rsidRDefault="00D829A9" w:rsidP="00D829A9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nositelj</w:t>
            </w: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D829A9" w:rsidRPr="00D829A9" w:rsidRDefault="00D829A9" w:rsidP="00D829A9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D829A9" w:rsidRPr="00D829A9" w:rsidRDefault="00D829A9" w:rsidP="00D829A9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829A9" w:rsidRPr="00D829A9" w:rsidTr="00AA5AA6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Mjesto izvođenja nastave </w:t>
            </w:r>
          </w:p>
        </w:tc>
        <w:tc>
          <w:tcPr>
            <w:tcW w:w="6895" w:type="dxa"/>
            <w:gridSpan w:val="16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D829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Novi kampus, Franje Tuđmana 24i, Zadar prema objavljenom rasporedu sati</w:t>
            </w:r>
          </w:p>
        </w:tc>
      </w:tr>
      <w:tr w:rsidR="00D829A9" w:rsidRPr="00D829A9" w:rsidTr="00AA5AA6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Cilj predmeta </w:t>
            </w:r>
          </w:p>
        </w:tc>
        <w:tc>
          <w:tcPr>
            <w:tcW w:w="6895" w:type="dxa"/>
            <w:gridSpan w:val="16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D829A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Na temelju prethodno stečenog znanja od najmanje osam godina učenja, cilj je kolegija temeljito ovladavanje osnovnim i složenijim morfološko-sintaktičkim strukturama engleskog jezika kao i pravilnim načinom njihove uporabe u odgovarajućem vremenskom i situacijskom kontekstu. Paralelni je cilj usvajanje što šireg vokabulara iz raznih područja kulture i turizma sa sviješću o posebnostima fonološkog sustava engleskog jezika uz poticanje što pravilnijeg izgovora. Cilj se ostvaruje kroz predavanja o morfološko-sintaktičkim i fonološkim strukturama engleskog jezika i njihovim jezičnim funkcijama kao i o kulturnim i turističkim sadržajima na domaćim i svjetskim prostorima, uz popratne vježbe govorenja, slušanja, čitanja i pisanja prema odgovarajućim poglavljima iz obavezne literature, kolektivno, u paru i individualno uz praktični rad, koji </w:t>
            </w:r>
            <w:r w:rsidRPr="00D829A9">
              <w:rPr>
                <w:rFonts w:ascii="Calibri" w:eastAsia="Calibri" w:hAnsi="Calibri" w:cs="Calibri"/>
                <w:bCs/>
                <w:sz w:val="18"/>
                <w:szCs w:val="18"/>
              </w:rPr>
              <w:t>uključuje i obaveznu izradu PPT prezentacija i njihova javnog izlaganja.</w:t>
            </w:r>
          </w:p>
        </w:tc>
      </w:tr>
      <w:tr w:rsidR="00D829A9" w:rsidRPr="00D829A9" w:rsidTr="00AA5AA6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Ishodi učenja</w:t>
            </w:r>
          </w:p>
        </w:tc>
        <w:tc>
          <w:tcPr>
            <w:tcW w:w="6895" w:type="dxa"/>
            <w:gridSpan w:val="16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D829A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Definirani u skladu su sa Zajedničkim europskim referentnim okvirom za jezike (CEFR) na razini C1 kroz čitanje i slušanje s razumijevanjem, govornu interakciju i produkciju i pisanje:</w:t>
            </w:r>
          </w:p>
          <w:p w:rsidR="00D829A9" w:rsidRPr="00D829A9" w:rsidRDefault="00A23BE3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hyperlink r:id="rId7" w:history="1">
              <w:r w:rsidR="00D829A9" w:rsidRPr="00D829A9">
                <w:rPr>
                  <w:rFonts w:ascii="Calibri" w:eastAsia="Calibri" w:hAnsi="Calibri" w:cs="Calibri"/>
                  <w:bCs/>
                  <w:color w:val="0000FF"/>
                  <w:sz w:val="18"/>
                  <w:u w:val="single"/>
                </w:rPr>
                <w:t>http://europass.cedefop.europa.eu/hr/resources/european-language-levels-cefr</w:t>
              </w:r>
            </w:hyperlink>
          </w:p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D829A9" w:rsidRPr="00D829A9" w:rsidTr="00AA5AA6">
        <w:trPr>
          <w:cantSplit/>
          <w:trHeight w:val="1134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Sadržaj predmeta po cjelinama </w:t>
            </w:r>
          </w:p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Tjedan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Cjelina </w:t>
            </w:r>
          </w:p>
        </w:tc>
        <w:tc>
          <w:tcPr>
            <w:tcW w:w="426" w:type="dxa"/>
            <w:shd w:val="clear" w:color="auto" w:fill="D9D9D9"/>
            <w:textDirection w:val="btLr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Vrsta nastave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Broj sati </w:t>
            </w:r>
          </w:p>
        </w:tc>
        <w:tc>
          <w:tcPr>
            <w:tcW w:w="5194" w:type="dxa"/>
            <w:gridSpan w:val="11"/>
            <w:shd w:val="clear" w:color="auto" w:fill="D9D9D9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Tema 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1.</w:t>
            </w:r>
          </w:p>
        </w:tc>
        <w:tc>
          <w:tcPr>
            <w:tcW w:w="425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1.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Introduction to 2nd year syllabus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2.</w:t>
            </w:r>
          </w:p>
        </w:tc>
        <w:tc>
          <w:tcPr>
            <w:tcW w:w="425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Relative Clauses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3.</w:t>
            </w:r>
          </w:p>
        </w:tc>
        <w:tc>
          <w:tcPr>
            <w:tcW w:w="425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3.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Marketing the Past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4.</w:t>
            </w:r>
          </w:p>
        </w:tc>
        <w:tc>
          <w:tcPr>
            <w:tcW w:w="425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4.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t>.rect Questionssm) od razine B1</w:t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D829A9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Clauses of Purpose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5.</w:t>
            </w:r>
          </w:p>
        </w:tc>
        <w:tc>
          <w:tcPr>
            <w:tcW w:w="425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5.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Customer Relations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6.</w:t>
            </w:r>
          </w:p>
        </w:tc>
        <w:tc>
          <w:tcPr>
            <w:tcW w:w="425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6.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Time Clauses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7.</w:t>
            </w:r>
          </w:p>
        </w:tc>
        <w:tc>
          <w:tcPr>
            <w:tcW w:w="425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7.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Promoting a Destination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8.</w:t>
            </w:r>
          </w:p>
        </w:tc>
        <w:tc>
          <w:tcPr>
            <w:tcW w:w="425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8. 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Clauses of Reason, Result and Concession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9.</w:t>
            </w:r>
          </w:p>
        </w:tc>
        <w:tc>
          <w:tcPr>
            <w:tcW w:w="425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9.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Trends in Tourism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10.</w:t>
            </w: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10. 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Interrogative Clauses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11.</w:t>
            </w: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11. 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Travel Agents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12.</w:t>
            </w: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12.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If- clauses (mixed types)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13.</w:t>
            </w: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13.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Tour Operators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14.</w:t>
            </w: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14.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Subjunctive and Unreal Past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15.</w:t>
            </w: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15.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The Passive (advanced points)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16.</w:t>
            </w: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16. 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Responsible Tourism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17.</w:t>
            </w: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17.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Infinitives, Gerund and Present Participle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18. </w:t>
            </w: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18. 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Perfect Infinitive, Progressive Infinitive, Passive Infinitive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19. </w:t>
            </w: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19. 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Transport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20. </w:t>
            </w: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20. 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Reporting Verbs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21. </w:t>
            </w: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21. 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A Career in Tourism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22. </w:t>
            </w: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22. 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Modal Verbs and Perfect Infinitives (advanced)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23.</w:t>
            </w: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23.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Hotel Facilities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24.</w:t>
            </w: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24.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Phrasal Verbs 1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25. </w:t>
            </w: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25. 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Things to Do (Tourist Information Centres)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26.</w:t>
            </w: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26.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Phrasal Verbs 2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27.</w:t>
            </w: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27. 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Selecting Locations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28. </w:t>
            </w: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28. 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Adjective and Adverb Order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29. </w:t>
            </w: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29. 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Business Travel</w:t>
            </w:r>
          </w:p>
        </w:tc>
      </w:tr>
      <w:tr w:rsidR="00D829A9" w:rsidRPr="00D829A9" w:rsidTr="00AA5AA6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30. </w:t>
            </w:r>
          </w:p>
        </w:tc>
        <w:tc>
          <w:tcPr>
            <w:tcW w:w="425" w:type="dxa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30. </w:t>
            </w:r>
          </w:p>
        </w:tc>
        <w:tc>
          <w:tcPr>
            <w:tcW w:w="426" w:type="dxa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Conjunctions</w:t>
            </w:r>
          </w:p>
        </w:tc>
      </w:tr>
      <w:tr w:rsidR="00D829A9" w:rsidRPr="00D829A9" w:rsidTr="00AA5AA6">
        <w:trPr>
          <w:trHeight w:val="97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Obvezna literatura:</w:t>
            </w:r>
          </w:p>
        </w:tc>
        <w:tc>
          <w:tcPr>
            <w:tcW w:w="6895" w:type="dxa"/>
            <w:gridSpan w:val="16"/>
            <w:vAlign w:val="center"/>
          </w:tcPr>
          <w:p w:rsidR="00D829A9" w:rsidRPr="00D829A9" w:rsidRDefault="00C94C91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Jacob, M., </w:t>
            </w:r>
            <w:r w:rsidR="00D829A9" w:rsidRPr="00D829A9">
              <w:rPr>
                <w:rFonts w:ascii="Calibri" w:eastAsia="Calibri" w:hAnsi="Calibri" w:cs="Arial"/>
                <w:color w:val="000000"/>
                <w:sz w:val="18"/>
                <w:szCs w:val="18"/>
              </w:rPr>
              <w:t>Strutt, P.</w:t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:</w:t>
            </w:r>
            <w:r w:rsidR="00D829A9" w:rsidRPr="00D829A9"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 </w:t>
            </w:r>
            <w:r w:rsidR="00D829A9" w:rsidRPr="00C94C91">
              <w:rPr>
                <w:rFonts w:ascii="Calibri" w:eastAsia="Calibri" w:hAnsi="Calibri" w:cs="Arial"/>
                <w:b/>
                <w:i/>
                <w:iCs/>
                <w:color w:val="000000"/>
                <w:sz w:val="18"/>
                <w:szCs w:val="18"/>
              </w:rPr>
              <w:t>English for International Tourism</w:t>
            </w:r>
            <w:r w:rsidR="00D829A9" w:rsidRPr="00C94C91">
              <w:rPr>
                <w:rFonts w:ascii="Calibri" w:eastAsia="Calibri" w:hAnsi="Calibri" w:cs="Arial"/>
                <w:b/>
                <w:color w:val="000000"/>
                <w:sz w:val="18"/>
                <w:szCs w:val="18"/>
              </w:rPr>
              <w:t xml:space="preserve">, CB + </w:t>
            </w:r>
            <w:r w:rsidRPr="00C94C91">
              <w:rPr>
                <w:rFonts w:ascii="Calibri" w:eastAsia="Calibri" w:hAnsi="Calibri" w:cs="Arial"/>
                <w:b/>
                <w:color w:val="000000"/>
                <w:sz w:val="18"/>
                <w:szCs w:val="18"/>
              </w:rPr>
              <w:t>WB (upper intermediate)</w:t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 Longman, 2003.</w:t>
            </w:r>
          </w:p>
          <w:p w:rsidR="00D829A9" w:rsidRPr="00D829A9" w:rsidRDefault="00C94C91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Thomson, A.J.: </w:t>
            </w:r>
            <w:r w:rsidR="00D829A9" w:rsidRPr="00D829A9">
              <w:rPr>
                <w:rFonts w:ascii="Calibri" w:eastAsia="Times New Roman" w:hAnsi="Calibri" w:cs="Times New Roman"/>
                <w:sz w:val="18"/>
                <w:szCs w:val="18"/>
              </w:rPr>
              <w:t>Martinet, A.V.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: </w:t>
            </w:r>
            <w:r w:rsidR="00D829A9" w:rsidRPr="00C94C91"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  <w:t>A Practical English Grammar – Exercises (1 &amp; 2)</w:t>
            </w:r>
            <w:r w:rsidRPr="00C94C91">
              <w:rPr>
                <w:rFonts w:ascii="Calibri" w:eastAsia="Times New Roman" w:hAnsi="Calibri" w:cs="Times New Roman"/>
                <w:iCs/>
                <w:sz w:val="18"/>
                <w:szCs w:val="18"/>
              </w:rPr>
              <w:t xml:space="preserve">, 2006. </w:t>
            </w:r>
          </w:p>
          <w:p w:rsidR="00D829A9" w:rsidRPr="00D829A9" w:rsidRDefault="00C94C91" w:rsidP="00D8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Eastwood, J.</w:t>
            </w:r>
            <w:r w:rsidR="00D829A9" w:rsidRPr="00D829A9">
              <w:rPr>
                <w:rFonts w:ascii="Calibri" w:eastAsia="Times New Roman" w:hAnsi="Calibri" w:cs="Times New Roman"/>
                <w:sz w:val="18"/>
                <w:szCs w:val="18"/>
              </w:rPr>
              <w:t xml:space="preserve"> : </w:t>
            </w:r>
            <w:r w:rsidR="00D829A9" w:rsidRPr="00C94C91"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  <w:t>Oxford Practice Grammar</w:t>
            </w:r>
            <w:r w:rsidR="00D829A9" w:rsidRPr="00D829A9">
              <w:rPr>
                <w:rFonts w:ascii="Calibri" w:eastAsia="Times New Roman" w:hAnsi="Calibri" w:cs="Times New Roman"/>
                <w:sz w:val="18"/>
                <w:szCs w:val="18"/>
              </w:rPr>
              <w:t>, OUP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, 2007.</w:t>
            </w:r>
          </w:p>
        </w:tc>
      </w:tr>
      <w:tr w:rsidR="00D829A9" w:rsidRPr="00D829A9" w:rsidTr="00AA5AA6">
        <w:trPr>
          <w:trHeight w:val="93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Dopunska literatura:</w:t>
            </w:r>
          </w:p>
        </w:tc>
        <w:tc>
          <w:tcPr>
            <w:tcW w:w="6895" w:type="dxa"/>
            <w:gridSpan w:val="16"/>
          </w:tcPr>
          <w:p w:rsidR="00D829A9" w:rsidRPr="00D829A9" w:rsidRDefault="00D829A9" w:rsidP="00D8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 w:rsidRPr="00D829A9">
              <w:rPr>
                <w:rFonts w:ascii="Calibri" w:eastAsia="Calibri" w:hAnsi="Calibri" w:cs="Arial"/>
                <w:color w:val="000000"/>
                <w:sz w:val="18"/>
                <w:szCs w:val="18"/>
              </w:rPr>
              <w:t>Swan, M.</w:t>
            </w:r>
            <w:r w:rsidR="00C94C91"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: </w:t>
            </w:r>
            <w:r w:rsidRPr="00C94C91">
              <w:rPr>
                <w:rFonts w:ascii="Calibri" w:eastAsia="Calibri" w:hAnsi="Calibri" w:cs="Arial"/>
                <w:b/>
                <w:iCs/>
                <w:color w:val="000000"/>
                <w:sz w:val="18"/>
                <w:szCs w:val="18"/>
              </w:rPr>
              <w:t>Practical English Usage</w:t>
            </w:r>
            <w:r w:rsidR="00C94C91">
              <w:rPr>
                <w:rFonts w:ascii="Calibri" w:eastAsia="Calibri" w:hAnsi="Calibri" w:cs="Arial"/>
                <w:color w:val="000000"/>
                <w:sz w:val="18"/>
                <w:szCs w:val="18"/>
              </w:rPr>
              <w:t>, OUP,</w:t>
            </w:r>
            <w:r w:rsidR="00C94C91">
              <w:t xml:space="preserve"> </w:t>
            </w:r>
            <w:r w:rsidR="00C94C91"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2005.</w:t>
            </w:r>
            <w:r w:rsidR="00C94C91" w:rsidRPr="00C94C91"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 </w:t>
            </w:r>
            <w:r w:rsidR="00C94C91"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 </w:t>
            </w:r>
          </w:p>
          <w:p w:rsidR="00D829A9" w:rsidRPr="00D829A9" w:rsidRDefault="00D829A9" w:rsidP="00C94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D829A9">
              <w:rPr>
                <w:rFonts w:ascii="Calibri" w:eastAsia="Calibri" w:hAnsi="Calibri" w:cs="Arial"/>
                <w:color w:val="000000"/>
                <w:sz w:val="18"/>
                <w:szCs w:val="18"/>
              </w:rPr>
              <w:t>Harding, K.</w:t>
            </w:r>
            <w:r w:rsidR="00C94C91">
              <w:rPr>
                <w:rFonts w:ascii="Calibri" w:eastAsia="Calibri" w:hAnsi="Calibri" w:cs="Arial"/>
                <w:color w:val="000000"/>
                <w:sz w:val="18"/>
                <w:szCs w:val="18"/>
              </w:rPr>
              <w:t>:</w:t>
            </w:r>
            <w:r w:rsidRPr="00D829A9"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 </w:t>
            </w:r>
            <w:r w:rsidRPr="00C94C91">
              <w:rPr>
                <w:rFonts w:ascii="Calibri" w:eastAsia="Calibri" w:hAnsi="Calibri" w:cs="Arial"/>
                <w:b/>
                <w:iCs/>
                <w:color w:val="000000"/>
                <w:sz w:val="18"/>
                <w:szCs w:val="18"/>
              </w:rPr>
              <w:t>Going International</w:t>
            </w:r>
            <w:r w:rsidRPr="00C94C91">
              <w:rPr>
                <w:rFonts w:ascii="Calibri" w:eastAsia="Calibri" w:hAnsi="Calibri" w:cs="Arial"/>
                <w:b/>
                <w:color w:val="000000"/>
                <w:sz w:val="18"/>
                <w:szCs w:val="18"/>
              </w:rPr>
              <w:t>, CB+WB (upper intermediate),</w:t>
            </w:r>
            <w:r w:rsidRPr="00D829A9"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 OUP</w:t>
            </w:r>
            <w:r w:rsidR="00C94C91">
              <w:rPr>
                <w:rFonts w:ascii="Calibri" w:eastAsia="Calibri" w:hAnsi="Calibri" w:cs="Arial"/>
                <w:color w:val="000000"/>
                <w:sz w:val="18"/>
                <w:szCs w:val="18"/>
              </w:rPr>
              <w:t>,</w:t>
            </w:r>
            <w:r w:rsidRPr="00D829A9">
              <w:rPr>
                <w:rFonts w:ascii="Calibri" w:eastAsia="Calibri" w:hAnsi="Calibri" w:cs="Arial"/>
                <w:color w:val="000000"/>
                <w:sz w:val="18"/>
                <w:szCs w:val="18"/>
              </w:rPr>
              <w:t xml:space="preserve"> </w:t>
            </w:r>
            <w:r w:rsidR="00C94C91"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2006.</w:t>
            </w:r>
          </w:p>
        </w:tc>
      </w:tr>
      <w:tr w:rsidR="00D829A9" w:rsidRPr="00D829A9" w:rsidTr="00AA5AA6">
        <w:trPr>
          <w:trHeight w:val="273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Praćenje i ocjenjivanje stečenih znanja i vještina</w:t>
            </w:r>
          </w:p>
        </w:tc>
        <w:tc>
          <w:tcPr>
            <w:tcW w:w="2500" w:type="dxa"/>
            <w:gridSpan w:val="7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276" w:type="dxa"/>
            <w:gridSpan w:val="4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BODOVI</w:t>
            </w:r>
          </w:p>
        </w:tc>
        <w:tc>
          <w:tcPr>
            <w:tcW w:w="2098" w:type="dxa"/>
            <w:gridSpan w:val="4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BODOVI</w:t>
            </w:r>
          </w:p>
        </w:tc>
      </w:tr>
      <w:tr w:rsidR="00D829A9" w:rsidRPr="00D829A9" w:rsidTr="00AA5AA6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7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Aktivno sudjelovanje na nastavi 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Referat – Praktični zadatci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15</w:t>
            </w:r>
          </w:p>
        </w:tc>
      </w:tr>
      <w:tr w:rsidR="00D829A9" w:rsidRPr="00D829A9" w:rsidTr="00AA5AA6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7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Domaće zadaće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Eksperimentalni rad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</w:p>
        </w:tc>
      </w:tr>
      <w:tr w:rsidR="00D829A9" w:rsidRPr="00D829A9" w:rsidTr="00AA5AA6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7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Esej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Grupni zadatak (projekt)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</w:p>
        </w:tc>
      </w:tr>
      <w:tr w:rsidR="00D829A9" w:rsidRPr="00D829A9" w:rsidTr="00AA5AA6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7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Seminarski rad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Projekt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</w:p>
        </w:tc>
      </w:tr>
      <w:tr w:rsidR="00D829A9" w:rsidRPr="00D829A9" w:rsidTr="00AA5AA6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7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Pismeni ispit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Praktični rad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</w:p>
        </w:tc>
      </w:tr>
      <w:tr w:rsidR="00D829A9" w:rsidRPr="00D829A9" w:rsidTr="00AA5AA6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7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Usmeni ispit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Cambridge CAE testovi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15</w:t>
            </w:r>
          </w:p>
        </w:tc>
      </w:tr>
      <w:tr w:rsidR="00D829A9" w:rsidRPr="00D829A9" w:rsidTr="00AA5AA6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7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Kolokviji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UKUPNO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100</w:t>
            </w:r>
          </w:p>
        </w:tc>
      </w:tr>
      <w:tr w:rsidR="00D829A9" w:rsidRPr="00D829A9" w:rsidTr="00AA5A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18"/>
            <w:shd w:val="clear" w:color="auto" w:fill="FFFFFF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Napomena: </w:t>
            </w:r>
          </w:p>
        </w:tc>
      </w:tr>
      <w:tr w:rsidR="00D829A9" w:rsidRPr="00D829A9" w:rsidTr="00AA5A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2410" w:type="dxa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Formiranje ocjene</w:t>
            </w:r>
          </w:p>
        </w:tc>
        <w:tc>
          <w:tcPr>
            <w:tcW w:w="3922" w:type="dxa"/>
            <w:gridSpan w:val="11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BODOVI (od – do)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Ocjena</w:t>
            </w:r>
          </w:p>
        </w:tc>
      </w:tr>
      <w:tr w:rsidR="00D829A9" w:rsidRPr="00D829A9" w:rsidTr="00AA5A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1"/>
            <w:shd w:val="clear" w:color="auto" w:fill="FFFFFF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0-59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1 (nedovoljan)</w:t>
            </w:r>
          </w:p>
        </w:tc>
      </w:tr>
      <w:tr w:rsidR="00D829A9" w:rsidRPr="00D829A9" w:rsidTr="00AA5A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1"/>
            <w:shd w:val="clear" w:color="auto" w:fill="FFFFFF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60-69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2 (dovoljan)</w:t>
            </w:r>
          </w:p>
        </w:tc>
      </w:tr>
      <w:tr w:rsidR="00D829A9" w:rsidRPr="00D829A9" w:rsidTr="00AA5A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1"/>
            <w:shd w:val="clear" w:color="auto" w:fill="FFFFFF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70-79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3 (dobar)</w:t>
            </w:r>
          </w:p>
        </w:tc>
      </w:tr>
      <w:tr w:rsidR="00D829A9" w:rsidRPr="00D829A9" w:rsidTr="00AA5A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1"/>
            <w:shd w:val="clear" w:color="auto" w:fill="FFFFFF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80-89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4 (vrlo dobar)</w:t>
            </w:r>
          </w:p>
        </w:tc>
      </w:tr>
      <w:tr w:rsidR="00D829A9" w:rsidRPr="00D829A9" w:rsidTr="00AA5A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1"/>
            <w:shd w:val="clear" w:color="auto" w:fill="FFFFFF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90-100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5 (izvrstan)</w:t>
            </w:r>
          </w:p>
        </w:tc>
      </w:tr>
    </w:tbl>
    <w:p w:rsidR="00D829A9" w:rsidRPr="00D829A9" w:rsidRDefault="00D829A9" w:rsidP="00D829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D829A9">
        <w:rPr>
          <w:rFonts w:ascii="Times New Roman" w:eastAsia="Times New Roman" w:hAnsi="Times New Roman" w:cs="Times New Roman"/>
          <w:szCs w:val="20"/>
        </w:rPr>
        <w:br w:type="page"/>
      </w: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232"/>
        <w:gridCol w:w="3261"/>
        <w:gridCol w:w="3402"/>
      </w:tblGrid>
      <w:tr w:rsidR="00D829A9" w:rsidRPr="00D829A9" w:rsidTr="00AA5AA6">
        <w:tc>
          <w:tcPr>
            <w:tcW w:w="9498" w:type="dxa"/>
            <w:gridSpan w:val="4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lastRenderedPageBreak/>
              <w:t>Izračun ECTS bodova</w:t>
            </w:r>
          </w:p>
        </w:tc>
      </w:tr>
      <w:tr w:rsidR="00D829A9" w:rsidRPr="00D829A9" w:rsidTr="00AA5AA6">
        <w:tc>
          <w:tcPr>
            <w:tcW w:w="9498" w:type="dxa"/>
            <w:gridSpan w:val="4"/>
            <w:shd w:val="clear" w:color="auto" w:fill="FFFFFF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NAPOMENA: </w:t>
            </w: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Prosječno radno opterećenje studenta/ice za stjecanje 1 ECTS boda = 25 - 30 sati</w:t>
            </w:r>
          </w:p>
        </w:tc>
      </w:tr>
      <w:tr w:rsidR="00D829A9" w:rsidRPr="00D829A9" w:rsidTr="00AA5AA6">
        <w:trPr>
          <w:trHeight w:val="297"/>
        </w:trPr>
        <w:tc>
          <w:tcPr>
            <w:tcW w:w="2835" w:type="dxa"/>
            <w:gridSpan w:val="2"/>
            <w:vMerge w:val="restart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Element opterećenja</w:t>
            </w:r>
          </w:p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vrijeme potrebno za 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Prosječno potreban broj sati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Prosječno potreban broj sati</w:t>
            </w:r>
          </w:p>
        </w:tc>
      </w:tr>
      <w:tr w:rsidR="00D829A9" w:rsidRPr="00D829A9" w:rsidTr="00AA5AA6">
        <w:trPr>
          <w:trHeight w:val="289"/>
        </w:trPr>
        <w:tc>
          <w:tcPr>
            <w:tcW w:w="2835" w:type="dxa"/>
            <w:gridSpan w:val="2"/>
            <w:vMerge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Redovni studij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Izvanredni studij</w:t>
            </w:r>
          </w:p>
        </w:tc>
      </w:tr>
      <w:tr w:rsidR="00D829A9" w:rsidRPr="00D829A9" w:rsidTr="00AA5AA6">
        <w:trPr>
          <w:trHeight w:val="119"/>
        </w:trPr>
        <w:tc>
          <w:tcPr>
            <w:tcW w:w="2835" w:type="dxa"/>
            <w:gridSpan w:val="2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Nastava </w:t>
            </w:r>
          </w:p>
        </w:tc>
        <w:tc>
          <w:tcPr>
            <w:tcW w:w="3261" w:type="dxa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90</w:t>
            </w:r>
          </w:p>
        </w:tc>
        <w:tc>
          <w:tcPr>
            <w:tcW w:w="3402" w:type="dxa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</w:tr>
      <w:tr w:rsidR="00D829A9" w:rsidRPr="00D829A9" w:rsidTr="00AA5AA6">
        <w:trPr>
          <w:trHeight w:val="219"/>
        </w:trPr>
        <w:tc>
          <w:tcPr>
            <w:tcW w:w="2835" w:type="dxa"/>
            <w:gridSpan w:val="2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Zadaće (projekti, seminari, eseji…)</w:t>
            </w:r>
          </w:p>
        </w:tc>
        <w:tc>
          <w:tcPr>
            <w:tcW w:w="3261" w:type="dxa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60</w:t>
            </w:r>
          </w:p>
        </w:tc>
        <w:tc>
          <w:tcPr>
            <w:tcW w:w="3402" w:type="dxa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90</w:t>
            </w:r>
          </w:p>
        </w:tc>
      </w:tr>
      <w:tr w:rsidR="00D829A9" w:rsidRPr="00D829A9" w:rsidTr="00AA5AA6">
        <w:trPr>
          <w:trHeight w:val="219"/>
        </w:trPr>
        <w:tc>
          <w:tcPr>
            <w:tcW w:w="2835" w:type="dxa"/>
            <w:gridSpan w:val="2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Ispiti i kolokviji</w:t>
            </w:r>
          </w:p>
        </w:tc>
        <w:tc>
          <w:tcPr>
            <w:tcW w:w="3261" w:type="dxa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90</w:t>
            </w:r>
          </w:p>
        </w:tc>
        <w:tc>
          <w:tcPr>
            <w:tcW w:w="3402" w:type="dxa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120</w:t>
            </w:r>
          </w:p>
        </w:tc>
      </w:tr>
      <w:tr w:rsidR="00D829A9" w:rsidRPr="00D829A9" w:rsidTr="00AA5AA6">
        <w:trPr>
          <w:trHeight w:val="219"/>
        </w:trPr>
        <w:tc>
          <w:tcPr>
            <w:tcW w:w="2835" w:type="dxa"/>
            <w:gridSpan w:val="2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Ukupno</w:t>
            </w:r>
          </w:p>
        </w:tc>
        <w:tc>
          <w:tcPr>
            <w:tcW w:w="3261" w:type="dxa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240</w:t>
            </w:r>
          </w:p>
        </w:tc>
        <w:tc>
          <w:tcPr>
            <w:tcW w:w="3402" w:type="dxa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240</w:t>
            </w:r>
          </w:p>
        </w:tc>
      </w:tr>
      <w:tr w:rsidR="00D829A9" w:rsidRPr="00D829A9" w:rsidTr="00AA5AA6">
        <w:tc>
          <w:tcPr>
            <w:tcW w:w="9498" w:type="dxa"/>
            <w:gridSpan w:val="4"/>
            <w:tcBorders>
              <w:bottom w:val="single" w:sz="8" w:space="0" w:color="auto"/>
            </w:tcBorders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Uvjeti za dobivanje potpisa</w:t>
            </w:r>
          </w:p>
        </w:tc>
      </w:tr>
      <w:tr w:rsidR="00D829A9" w:rsidRPr="00D829A9" w:rsidTr="00AA5AA6">
        <w:trPr>
          <w:trHeight w:val="40"/>
        </w:trPr>
        <w:tc>
          <w:tcPr>
            <w:tcW w:w="9498" w:type="dxa"/>
            <w:gridSpan w:val="4"/>
            <w:shd w:val="clear" w:color="auto" w:fill="FFFFFF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Redovni studenti su dužni aktivno sudjelovati na minimalno 70 % predavanja i vježbi i redovito izvršavati zadatke za individualni i praktični rad. Izvanredni studenti dužni su sudjelovati na minimalno 30 % predavanja na posebno organiziranim semestralnim modulima  ili po izboru na predavanjima za redovne studente, a ostatak studentskog opterećenja nadoknaditi konzultativnom nastavom i samostalnim radom. Svaki je student dužan tijekom akademske godine prema uputama pripremiti bar jednu PPT prezentaciju kulturno-povijesnih znamenitosti odabranih turističkih destinacija na engleskom jeziku i javno je izložiti. Svi studenti su dužni sudjelovati i na bar dva CAE Cambridge testa kojima se periodično provjerava napredovanje u stjecanju raznih vidova jezičnih kompetencija. </w:t>
            </w:r>
          </w:p>
        </w:tc>
      </w:tr>
      <w:tr w:rsidR="00D829A9" w:rsidRPr="00D829A9" w:rsidTr="00AA5AA6">
        <w:tc>
          <w:tcPr>
            <w:tcW w:w="9498" w:type="dxa"/>
            <w:gridSpan w:val="4"/>
            <w:shd w:val="clear" w:color="auto" w:fill="D9D9D9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Konzultacije  </w:t>
            </w:r>
          </w:p>
        </w:tc>
      </w:tr>
      <w:tr w:rsidR="00D829A9" w:rsidRPr="00D829A9" w:rsidTr="00AA5AA6">
        <w:trPr>
          <w:trHeight w:val="450"/>
        </w:trPr>
        <w:tc>
          <w:tcPr>
            <w:tcW w:w="9498" w:type="dxa"/>
            <w:gridSpan w:val="4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kabinet: 102</w:t>
            </w:r>
          </w:p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 xml:space="preserve">ponedjeljak: 19:00 - 20:00 </w:t>
            </w:r>
          </w:p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utorak: 11:00 - 12:00</w:t>
            </w:r>
          </w:p>
        </w:tc>
      </w:tr>
      <w:tr w:rsidR="00D829A9" w:rsidRPr="00D829A9" w:rsidTr="00AA5AA6">
        <w:trPr>
          <w:trHeight w:val="450"/>
        </w:trPr>
        <w:tc>
          <w:tcPr>
            <w:tcW w:w="9498" w:type="dxa"/>
            <w:gridSpan w:val="4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Kontakt informacije</w:t>
            </w:r>
          </w:p>
        </w:tc>
      </w:tr>
      <w:tr w:rsidR="00D829A9" w:rsidRPr="00D829A9" w:rsidTr="00AA5AA6">
        <w:trPr>
          <w:trHeight w:val="450"/>
        </w:trPr>
        <w:tc>
          <w:tcPr>
            <w:tcW w:w="9498" w:type="dxa"/>
            <w:gridSpan w:val="4"/>
            <w:shd w:val="clear" w:color="auto" w:fill="FFFFFF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Telefon: 345-034</w:t>
            </w:r>
          </w:p>
          <w:p w:rsidR="00D829A9" w:rsidRPr="00D829A9" w:rsidRDefault="00D829A9" w:rsidP="00D82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sz w:val="18"/>
                <w:szCs w:val="18"/>
              </w:rPr>
              <w:t>e-mail: vsusac@unizd.hr</w:t>
            </w:r>
          </w:p>
        </w:tc>
      </w:tr>
      <w:tr w:rsidR="00D829A9" w:rsidRPr="00D829A9" w:rsidTr="00AA5AA6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03" w:type="dxa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Način praćenja kvalitete i uspješnosti izvedbe svakog predmeta</w:t>
            </w:r>
          </w:p>
        </w:tc>
        <w:tc>
          <w:tcPr>
            <w:tcW w:w="6895" w:type="dxa"/>
            <w:gridSpan w:val="3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Studentska anketa prema upitniku Ureda za kvalitetu</w:t>
            </w:r>
          </w:p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Skupni i individualni razgovori sa studentima</w:t>
            </w:r>
          </w:p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sz w:val="18"/>
                <w:szCs w:val="18"/>
              </w:rPr>
              <w:t>Samoevaluacija prema odjelnom Priručniku za kvalitetu</w:t>
            </w:r>
          </w:p>
        </w:tc>
      </w:tr>
      <w:tr w:rsidR="00D829A9" w:rsidRPr="00D829A9" w:rsidTr="00AA5AA6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2603" w:type="dxa"/>
            <w:shd w:val="clear" w:color="auto" w:fill="D9D9D9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29A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Dodatne napomene nastavnika</w:t>
            </w:r>
          </w:p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895" w:type="dxa"/>
            <w:gridSpan w:val="3"/>
            <w:vAlign w:val="center"/>
          </w:tcPr>
          <w:p w:rsidR="00D829A9" w:rsidRPr="00D829A9" w:rsidRDefault="00D829A9" w:rsidP="00D82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:rsidR="00D829A9" w:rsidRPr="00D829A9" w:rsidRDefault="00D829A9" w:rsidP="00D829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  <w:lang w:val="sv-SE"/>
        </w:rPr>
      </w:pPr>
    </w:p>
    <w:p w:rsidR="00D829A9" w:rsidRPr="00D829A9" w:rsidRDefault="00D829A9" w:rsidP="00D829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  <w:lang w:val="sv-SE"/>
        </w:rPr>
      </w:pPr>
    </w:p>
    <w:p w:rsidR="00D829A9" w:rsidRPr="00D829A9" w:rsidRDefault="00D829A9" w:rsidP="00D829A9">
      <w:pPr>
        <w:spacing w:after="0" w:line="240" w:lineRule="auto"/>
        <w:rPr>
          <w:rFonts w:ascii="Times New Roman" w:eastAsia="Times New Roman" w:hAnsi="Times New Roman" w:cs="Times New Roman"/>
          <w:sz w:val="24"/>
          <w:lang w:val="sv-SE" w:bidi="en-US"/>
        </w:rPr>
      </w:pPr>
    </w:p>
    <w:p w:rsidR="005A586A" w:rsidRDefault="005A586A"/>
    <w:sectPr w:rsidR="005A586A" w:rsidSect="004E008B">
      <w:headerReference w:type="default" r:id="rId8"/>
      <w:footerReference w:type="default" r:id="rId9"/>
      <w:pgSz w:w="12240" w:h="15840"/>
      <w:pgMar w:top="1440" w:right="1440" w:bottom="1361" w:left="1440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E3" w:rsidRDefault="00A23BE3">
      <w:pPr>
        <w:spacing w:after="0" w:line="240" w:lineRule="auto"/>
      </w:pPr>
      <w:r>
        <w:separator/>
      </w:r>
    </w:p>
  </w:endnote>
  <w:endnote w:type="continuationSeparator" w:id="0">
    <w:p w:rsidR="00A23BE3" w:rsidRDefault="00A2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91" w:rsidRDefault="00A23BE3">
    <w:pPr>
      <w:pStyle w:val="Footer"/>
      <w:rPr>
        <w:snapToGrid w:val="0"/>
        <w:sz w:val="18"/>
      </w:rPr>
    </w:pPr>
  </w:p>
  <w:p w:rsidR="00792991" w:rsidRPr="00B8248E" w:rsidRDefault="004A1768">
    <w:pPr>
      <w:pStyle w:val="Footer"/>
      <w:rPr>
        <w:snapToGrid w:val="0"/>
        <w:sz w:val="18"/>
      </w:rPr>
    </w:pPr>
    <w:r>
      <w:rPr>
        <w:snapToGrid w:val="0"/>
        <w:sz w:val="18"/>
      </w:rPr>
      <w:t>2017-18</w:t>
    </w:r>
    <w:r w:rsidR="00D829A9">
      <w:rPr>
        <w:i/>
        <w:snapToGrid w:val="0"/>
        <w:sz w:val="18"/>
      </w:rPr>
      <w:tab/>
    </w:r>
    <w:r w:rsidR="00D829A9">
      <w:rPr>
        <w:i/>
        <w:snapToGrid w:val="0"/>
        <w:sz w:val="18"/>
      </w:rPr>
      <w:tab/>
    </w:r>
    <w:proofErr w:type="spellStart"/>
    <w:r w:rsidR="00D829A9" w:rsidRPr="003E0D3F">
      <w:rPr>
        <w:snapToGrid w:val="0"/>
        <w:sz w:val="18"/>
        <w:szCs w:val="18"/>
      </w:rPr>
      <w:t>Stranica</w:t>
    </w:r>
    <w:proofErr w:type="spellEnd"/>
    <w:r w:rsidR="00D829A9" w:rsidRPr="003E0D3F">
      <w:rPr>
        <w:snapToGrid w:val="0"/>
        <w:sz w:val="18"/>
        <w:szCs w:val="18"/>
      </w:rPr>
      <w:t xml:space="preserve"> </w:t>
    </w:r>
    <w:r w:rsidR="00D829A9" w:rsidRPr="003E0D3F">
      <w:rPr>
        <w:rStyle w:val="PageNumber"/>
        <w:rFonts w:eastAsiaTheme="majorEastAsia"/>
        <w:sz w:val="18"/>
        <w:szCs w:val="18"/>
      </w:rPr>
      <w:fldChar w:fldCharType="begin"/>
    </w:r>
    <w:r w:rsidR="00D829A9" w:rsidRPr="003E0D3F">
      <w:rPr>
        <w:rStyle w:val="PageNumber"/>
        <w:rFonts w:eastAsiaTheme="majorEastAsia"/>
        <w:sz w:val="18"/>
        <w:szCs w:val="18"/>
      </w:rPr>
      <w:instrText xml:space="preserve"> PAGE </w:instrText>
    </w:r>
    <w:r w:rsidR="00D829A9" w:rsidRPr="003E0D3F">
      <w:rPr>
        <w:rStyle w:val="PageNumber"/>
        <w:rFonts w:eastAsiaTheme="majorEastAsia"/>
        <w:sz w:val="18"/>
        <w:szCs w:val="18"/>
      </w:rPr>
      <w:fldChar w:fldCharType="separate"/>
    </w:r>
    <w:r w:rsidR="00C94C91">
      <w:rPr>
        <w:rStyle w:val="PageNumber"/>
        <w:rFonts w:eastAsiaTheme="majorEastAsia"/>
        <w:noProof/>
        <w:sz w:val="18"/>
        <w:szCs w:val="18"/>
      </w:rPr>
      <w:t>2</w:t>
    </w:r>
    <w:r w:rsidR="00D829A9" w:rsidRPr="003E0D3F">
      <w:rPr>
        <w:rStyle w:val="PageNumber"/>
        <w:rFonts w:eastAsiaTheme="majorEastAsia"/>
        <w:sz w:val="18"/>
        <w:szCs w:val="18"/>
      </w:rPr>
      <w:fldChar w:fldCharType="end"/>
    </w:r>
    <w:r w:rsidR="00D829A9" w:rsidRPr="003E0D3F">
      <w:rPr>
        <w:rStyle w:val="PageNumber"/>
        <w:rFonts w:eastAsiaTheme="majorEastAsia"/>
        <w:sz w:val="18"/>
        <w:szCs w:val="18"/>
      </w:rPr>
      <w:t xml:space="preserve"> od </w:t>
    </w:r>
    <w:r w:rsidR="00D829A9" w:rsidRPr="003E0D3F">
      <w:rPr>
        <w:rStyle w:val="PageNumber"/>
        <w:rFonts w:eastAsiaTheme="majorEastAsia"/>
        <w:sz w:val="18"/>
        <w:szCs w:val="18"/>
      </w:rPr>
      <w:fldChar w:fldCharType="begin"/>
    </w:r>
    <w:r w:rsidR="00D829A9" w:rsidRPr="003E0D3F">
      <w:rPr>
        <w:rStyle w:val="PageNumber"/>
        <w:rFonts w:eastAsiaTheme="majorEastAsia"/>
        <w:sz w:val="18"/>
        <w:szCs w:val="18"/>
      </w:rPr>
      <w:instrText xml:space="preserve"> NUMPAGES </w:instrText>
    </w:r>
    <w:r w:rsidR="00D829A9" w:rsidRPr="003E0D3F">
      <w:rPr>
        <w:rStyle w:val="PageNumber"/>
        <w:rFonts w:eastAsiaTheme="majorEastAsia"/>
        <w:sz w:val="18"/>
        <w:szCs w:val="18"/>
      </w:rPr>
      <w:fldChar w:fldCharType="separate"/>
    </w:r>
    <w:r w:rsidR="00C94C91">
      <w:rPr>
        <w:rStyle w:val="PageNumber"/>
        <w:rFonts w:eastAsiaTheme="majorEastAsia"/>
        <w:noProof/>
        <w:sz w:val="18"/>
        <w:szCs w:val="18"/>
      </w:rPr>
      <w:t>3</w:t>
    </w:r>
    <w:r w:rsidR="00D829A9" w:rsidRPr="003E0D3F">
      <w:rPr>
        <w:rStyle w:val="PageNumber"/>
        <w:rFonts w:eastAsiaTheme="majorEastAsia"/>
        <w:sz w:val="18"/>
        <w:szCs w:val="18"/>
      </w:rPr>
      <w:fldChar w:fldCharType="end"/>
    </w:r>
    <w:r w:rsidR="00D829A9" w:rsidRPr="003E0D3F">
      <w:rPr>
        <w:rStyle w:val="PageNumber"/>
        <w:rFonts w:eastAsiaTheme="major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E3" w:rsidRDefault="00A23BE3">
      <w:pPr>
        <w:spacing w:after="0" w:line="240" w:lineRule="auto"/>
      </w:pPr>
      <w:r>
        <w:separator/>
      </w:r>
    </w:p>
  </w:footnote>
  <w:footnote w:type="continuationSeparator" w:id="0">
    <w:p w:rsidR="00A23BE3" w:rsidRDefault="00A2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73"/>
      <w:gridCol w:w="6004"/>
      <w:gridCol w:w="2144"/>
    </w:tblGrid>
    <w:tr w:rsidR="00792991">
      <w:trPr>
        <w:cantSplit/>
        <w:trHeight w:val="412"/>
      </w:trPr>
      <w:tc>
        <w:tcPr>
          <w:tcW w:w="1573" w:type="dxa"/>
          <w:vMerge w:val="restart"/>
          <w:vAlign w:val="center"/>
        </w:tcPr>
        <w:p w:rsidR="00792991" w:rsidRDefault="00D829A9" w:rsidP="00FA183D">
          <w:pPr>
            <w:pStyle w:val="Header"/>
            <w:rPr>
              <w:sz w:val="20"/>
            </w:rPr>
          </w:pPr>
          <w:r>
            <w:rPr>
              <w:noProof/>
              <w:sz w:val="20"/>
              <w:lang w:val="hr-HR" w:bidi="ar-SA"/>
            </w:rPr>
            <w:drawing>
              <wp:inline distT="0" distB="0" distL="0" distR="0">
                <wp:extent cx="866775" cy="8286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4" w:type="dxa"/>
          <w:vAlign w:val="center"/>
        </w:tcPr>
        <w:p w:rsidR="00792991" w:rsidRPr="00EF181C" w:rsidRDefault="00D829A9" w:rsidP="00FA183D">
          <w:pPr>
            <w:pStyle w:val="Header"/>
            <w:spacing w:before="60"/>
            <w:jc w:val="center"/>
            <w:rPr>
              <w:b/>
              <w:lang w:val="pt-PT"/>
            </w:rPr>
          </w:pPr>
          <w:r w:rsidRPr="00CA71EA">
            <w:rPr>
              <w:b/>
              <w:sz w:val="28"/>
              <w:lang w:val="it-IT"/>
            </w:rPr>
            <w:t>Odjel za turizam i komunikacijske znanosti</w:t>
          </w:r>
        </w:p>
      </w:tc>
      <w:tc>
        <w:tcPr>
          <w:tcW w:w="2144" w:type="dxa"/>
          <w:vAlign w:val="center"/>
        </w:tcPr>
        <w:p w:rsidR="00792991" w:rsidRPr="009C3224" w:rsidRDefault="00D829A9" w:rsidP="00265778">
          <w:pPr>
            <w:pStyle w:val="Header"/>
            <w:jc w:val="center"/>
            <w:rPr>
              <w:b/>
            </w:rPr>
          </w:pPr>
          <w:proofErr w:type="spellStart"/>
          <w:r>
            <w:rPr>
              <w:b/>
            </w:rPr>
            <w:t>Predd</w:t>
          </w:r>
          <w:r w:rsidRPr="009C3224">
            <w:rPr>
              <w:b/>
            </w:rPr>
            <w:t>iplomski</w:t>
          </w:r>
          <w:proofErr w:type="spellEnd"/>
          <w:r w:rsidRPr="009C3224">
            <w:rPr>
              <w:b/>
            </w:rPr>
            <w:t xml:space="preserve"> </w:t>
          </w:r>
          <w:proofErr w:type="spellStart"/>
          <w:r w:rsidRPr="009C3224">
            <w:rPr>
              <w:b/>
            </w:rPr>
            <w:t>studij</w:t>
          </w:r>
          <w:proofErr w:type="spellEnd"/>
        </w:p>
      </w:tc>
    </w:tr>
    <w:tr w:rsidR="00792991">
      <w:trPr>
        <w:cantSplit/>
        <w:trHeight w:val="861"/>
      </w:trPr>
      <w:tc>
        <w:tcPr>
          <w:tcW w:w="1573" w:type="dxa"/>
          <w:vMerge/>
          <w:vAlign w:val="center"/>
        </w:tcPr>
        <w:p w:rsidR="00792991" w:rsidRDefault="00A23BE3">
          <w:pPr>
            <w:pStyle w:val="Header"/>
            <w:rPr>
              <w:sz w:val="20"/>
            </w:rPr>
          </w:pPr>
        </w:p>
      </w:tc>
      <w:tc>
        <w:tcPr>
          <w:tcW w:w="6004" w:type="dxa"/>
          <w:vAlign w:val="center"/>
        </w:tcPr>
        <w:p w:rsidR="00792991" w:rsidRDefault="00D829A9" w:rsidP="00FA183D">
          <w:pPr>
            <w:pStyle w:val="Header"/>
            <w:spacing w:before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OPIS PREDMETA</w:t>
          </w:r>
        </w:p>
      </w:tc>
      <w:tc>
        <w:tcPr>
          <w:tcW w:w="2144" w:type="dxa"/>
          <w:vAlign w:val="center"/>
        </w:tcPr>
        <w:p w:rsidR="00792991" w:rsidRPr="00B8248E" w:rsidRDefault="00D829A9" w:rsidP="00B8248E">
          <w:pPr>
            <w:pStyle w:val="TOC1"/>
          </w:pPr>
          <w:proofErr w:type="spellStart"/>
          <w:r w:rsidRPr="00B8248E">
            <w:t>Kultura</w:t>
          </w:r>
          <w:proofErr w:type="spellEnd"/>
          <w:r w:rsidRPr="00B8248E">
            <w:t xml:space="preserve"> </w:t>
          </w:r>
          <w:proofErr w:type="spellStart"/>
          <w:r w:rsidRPr="00B8248E">
            <w:t>i</w:t>
          </w:r>
          <w:proofErr w:type="spellEnd"/>
          <w:r w:rsidRPr="00B8248E">
            <w:t xml:space="preserve"> </w:t>
          </w:r>
          <w:proofErr w:type="spellStart"/>
          <w:r w:rsidRPr="00B8248E">
            <w:t>turizam</w:t>
          </w:r>
          <w:proofErr w:type="spellEnd"/>
          <w:r w:rsidRPr="00B8248E">
            <w:t xml:space="preserve"> </w:t>
          </w:r>
        </w:p>
      </w:tc>
    </w:tr>
  </w:tbl>
  <w:p w:rsidR="00792991" w:rsidRPr="00FA183D" w:rsidRDefault="00A23BE3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A9"/>
    <w:rsid w:val="001316B3"/>
    <w:rsid w:val="004A1768"/>
    <w:rsid w:val="005A586A"/>
    <w:rsid w:val="007C5932"/>
    <w:rsid w:val="00931D52"/>
    <w:rsid w:val="00A23BE3"/>
    <w:rsid w:val="00AB242C"/>
    <w:rsid w:val="00B521BC"/>
    <w:rsid w:val="00C94C91"/>
    <w:rsid w:val="00D829A9"/>
    <w:rsid w:val="00E65648"/>
    <w:rsid w:val="00E8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9A9"/>
    <w:pPr>
      <w:tabs>
        <w:tab w:val="center" w:pos="4536"/>
        <w:tab w:val="right" w:pos="9072"/>
      </w:tabs>
      <w:spacing w:after="0" w:line="240" w:lineRule="auto"/>
    </w:pPr>
    <w:rPr>
      <w:sz w:val="24"/>
      <w:lang w:val="en-GB" w:bidi="en-US"/>
    </w:rPr>
  </w:style>
  <w:style w:type="character" w:customStyle="1" w:styleId="HeaderChar">
    <w:name w:val="Header Char"/>
    <w:basedOn w:val="DefaultParagraphFont"/>
    <w:link w:val="Header"/>
    <w:uiPriority w:val="99"/>
    <w:rsid w:val="00D829A9"/>
    <w:rPr>
      <w:sz w:val="24"/>
      <w:lang w:val="en-GB" w:bidi="en-US"/>
    </w:rPr>
  </w:style>
  <w:style w:type="paragraph" w:styleId="Footer">
    <w:name w:val="footer"/>
    <w:basedOn w:val="Normal"/>
    <w:link w:val="FooterChar"/>
    <w:uiPriority w:val="99"/>
    <w:unhideWhenUsed/>
    <w:rsid w:val="00D829A9"/>
    <w:pPr>
      <w:tabs>
        <w:tab w:val="center" w:pos="4536"/>
        <w:tab w:val="right" w:pos="9072"/>
      </w:tabs>
      <w:spacing w:after="0" w:line="240" w:lineRule="auto"/>
    </w:pPr>
    <w:rPr>
      <w:sz w:val="24"/>
      <w:lang w:val="en-GB" w:bidi="en-US"/>
    </w:rPr>
  </w:style>
  <w:style w:type="character" w:customStyle="1" w:styleId="FooterChar">
    <w:name w:val="Footer Char"/>
    <w:basedOn w:val="DefaultParagraphFont"/>
    <w:link w:val="Footer"/>
    <w:uiPriority w:val="99"/>
    <w:rsid w:val="00D829A9"/>
    <w:rPr>
      <w:sz w:val="24"/>
      <w:lang w:val="en-GB" w:bidi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29A9"/>
    <w:pPr>
      <w:spacing w:after="100" w:line="240" w:lineRule="auto"/>
    </w:pPr>
    <w:rPr>
      <w:sz w:val="24"/>
      <w:lang w:val="en-GB" w:bidi="en-US"/>
    </w:rPr>
  </w:style>
  <w:style w:type="character" w:styleId="PageNumber">
    <w:name w:val="page number"/>
    <w:basedOn w:val="DefaultParagraphFont"/>
    <w:rsid w:val="00D829A9"/>
  </w:style>
  <w:style w:type="paragraph" w:styleId="BalloonText">
    <w:name w:val="Balloon Text"/>
    <w:basedOn w:val="Normal"/>
    <w:link w:val="BalloonTextChar"/>
    <w:uiPriority w:val="99"/>
    <w:semiHidden/>
    <w:unhideWhenUsed/>
    <w:rsid w:val="00D8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9A9"/>
    <w:pPr>
      <w:tabs>
        <w:tab w:val="center" w:pos="4536"/>
        <w:tab w:val="right" w:pos="9072"/>
      </w:tabs>
      <w:spacing w:after="0" w:line="240" w:lineRule="auto"/>
    </w:pPr>
    <w:rPr>
      <w:sz w:val="24"/>
      <w:lang w:val="en-GB" w:bidi="en-US"/>
    </w:rPr>
  </w:style>
  <w:style w:type="character" w:customStyle="1" w:styleId="HeaderChar">
    <w:name w:val="Header Char"/>
    <w:basedOn w:val="DefaultParagraphFont"/>
    <w:link w:val="Header"/>
    <w:uiPriority w:val="99"/>
    <w:rsid w:val="00D829A9"/>
    <w:rPr>
      <w:sz w:val="24"/>
      <w:lang w:val="en-GB" w:bidi="en-US"/>
    </w:rPr>
  </w:style>
  <w:style w:type="paragraph" w:styleId="Footer">
    <w:name w:val="footer"/>
    <w:basedOn w:val="Normal"/>
    <w:link w:val="FooterChar"/>
    <w:uiPriority w:val="99"/>
    <w:unhideWhenUsed/>
    <w:rsid w:val="00D829A9"/>
    <w:pPr>
      <w:tabs>
        <w:tab w:val="center" w:pos="4536"/>
        <w:tab w:val="right" w:pos="9072"/>
      </w:tabs>
      <w:spacing w:after="0" w:line="240" w:lineRule="auto"/>
    </w:pPr>
    <w:rPr>
      <w:sz w:val="24"/>
      <w:lang w:val="en-GB" w:bidi="en-US"/>
    </w:rPr>
  </w:style>
  <w:style w:type="character" w:customStyle="1" w:styleId="FooterChar">
    <w:name w:val="Footer Char"/>
    <w:basedOn w:val="DefaultParagraphFont"/>
    <w:link w:val="Footer"/>
    <w:uiPriority w:val="99"/>
    <w:rsid w:val="00D829A9"/>
    <w:rPr>
      <w:sz w:val="24"/>
      <w:lang w:val="en-GB" w:bidi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29A9"/>
    <w:pPr>
      <w:spacing w:after="100" w:line="240" w:lineRule="auto"/>
    </w:pPr>
    <w:rPr>
      <w:sz w:val="24"/>
      <w:lang w:val="en-GB" w:bidi="en-US"/>
    </w:rPr>
  </w:style>
  <w:style w:type="character" w:styleId="PageNumber">
    <w:name w:val="page number"/>
    <w:basedOn w:val="DefaultParagraphFont"/>
    <w:rsid w:val="00D829A9"/>
  </w:style>
  <w:style w:type="paragraph" w:styleId="BalloonText">
    <w:name w:val="Balloon Text"/>
    <w:basedOn w:val="Normal"/>
    <w:link w:val="BalloonTextChar"/>
    <w:uiPriority w:val="99"/>
    <w:semiHidden/>
    <w:unhideWhenUsed/>
    <w:rsid w:val="00D8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hr/resources/european-language-levels-ce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veki</cp:lastModifiedBy>
  <cp:revision>5</cp:revision>
  <cp:lastPrinted>2017-09-25T08:13:00Z</cp:lastPrinted>
  <dcterms:created xsi:type="dcterms:W3CDTF">2017-09-25T08:13:00Z</dcterms:created>
  <dcterms:modified xsi:type="dcterms:W3CDTF">2017-09-29T08:16:00Z</dcterms:modified>
</cp:coreProperties>
</file>