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45530F" w:rsidRPr="002013F1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2013F1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2013F1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2013F1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2013F1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2013F1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2013F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6BA6FF8" w:rsidR="004B553E" w:rsidRPr="002013F1" w:rsidRDefault="00CB6A8D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2013F1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599F3A58" w:rsidR="004B553E" w:rsidRPr="002013F1" w:rsidRDefault="007132EF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2025.</w:t>
            </w:r>
            <w:r w:rsidR="00FF1020" w:rsidRPr="002013F1">
              <w:rPr>
                <w:rFonts w:ascii="Merriweather" w:hAnsi="Merriweather" w:cs="Times New Roman"/>
                <w:sz w:val="18"/>
                <w:szCs w:val="18"/>
              </w:rPr>
              <w:t>/202</w:t>
            </w:r>
            <w:r w:rsidR="00703474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2013F1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2013F1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2013F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0684AC7A" w:rsidR="004B553E" w:rsidRPr="002013F1" w:rsidRDefault="003E6A7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Prevođenje umjetničkoga teksta </w:t>
            </w:r>
            <w:r>
              <w:rPr>
                <w:rFonts w:ascii="Merriweather" w:hAnsi="Merriweather" w:cs="Times New Roman"/>
                <w:b/>
                <w:sz w:val="18"/>
                <w:szCs w:val="18"/>
              </w:rPr>
              <w:t>RUD</w:t>
            </w: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 211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2013F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9664D45" w:rsidR="004B553E" w:rsidRPr="002013F1" w:rsidRDefault="00CB6A8D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2013F1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2013F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1407C86" w:rsidR="004B553E" w:rsidRPr="002013F1" w:rsidRDefault="003E6A7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013F1">
              <w:rPr>
                <w:rFonts w:ascii="Merriweather" w:hAnsi="Merriweather" w:cs="Times New Roman"/>
                <w:b/>
                <w:sz w:val="18"/>
                <w:szCs w:val="18"/>
              </w:rPr>
              <w:t>Ruski jezik i književnost</w:t>
            </w:r>
          </w:p>
        </w:tc>
      </w:tr>
      <w:tr w:rsidR="004B553E" w:rsidRPr="002013F1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2013F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B94734A" w:rsidR="004B553E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00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2013F1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2013F1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2013F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FF0E226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722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3601B058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22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2013F1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2013F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430D08A" w:rsidR="004B553E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2013F1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478F17A0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2013F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B553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2013F1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2013F1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6A471643" w:rsidR="00393964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2013F1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2013F1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2013F1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2013F1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3964" w:rsidRPr="002013F1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351BCD65" w:rsidR="00393964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393964" w:rsidRPr="002013F1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2013F1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2013F1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06A35C5C" w:rsidR="00453362" w:rsidRPr="002013F1" w:rsidRDefault="00CB6A8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14:paraId="52D21222" w14:textId="77777777" w:rsidR="00453362" w:rsidRPr="002013F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41ADF88" w:rsidR="00453362" w:rsidRPr="002013F1" w:rsidRDefault="00CB6A8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2013F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2013F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2013F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2013F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161F8321" w:rsidR="00453362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2013F1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0E2AA74" w14:textId="0CA48EDB" w:rsidR="00F1051E" w:rsidRPr="002013F1" w:rsidRDefault="006C236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Seminari: u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torkom 16:00</w:t>
            </w:r>
            <w:r w:rsidR="00C1169A">
              <w:rPr>
                <w:rFonts w:ascii="Merriweather" w:hAnsi="Merriweather" w:cs="Times New Roman"/>
                <w:sz w:val="16"/>
                <w:szCs w:val="16"/>
              </w:rPr>
              <w:t> 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="00C1169A">
              <w:rPr>
                <w:rFonts w:ascii="Merriweather" w:hAnsi="Merriweather" w:cs="Times New Roman"/>
                <w:sz w:val="16"/>
                <w:szCs w:val="16"/>
              </w:rPr>
              <w:t> 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18:00 (254)</w:t>
            </w:r>
          </w:p>
          <w:p w14:paraId="7C1ED737" w14:textId="023974B3" w:rsidR="00CB6A8D" w:rsidRPr="002013F1" w:rsidRDefault="006C236B" w:rsidP="00F1051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Predavanja: utorkom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CB6A8D" w:rsidRPr="002013F1">
              <w:rPr>
                <w:rFonts w:ascii="Merriweather" w:hAnsi="Merriweather" w:cs="Times New Roman"/>
                <w:sz w:val="16"/>
                <w:szCs w:val="16"/>
              </w:rPr>
              <w:t>18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:</w:t>
            </w:r>
            <w:r>
              <w:rPr>
                <w:rFonts w:ascii="Merriweather" w:hAnsi="Merriweather" w:cs="Times New Roman"/>
                <w:sz w:val="16"/>
                <w:szCs w:val="16"/>
              </w:rPr>
              <w:t>00</w:t>
            </w:r>
            <w:r w:rsidR="00C1169A">
              <w:rPr>
                <w:rFonts w:ascii="Merriweather" w:hAnsi="Merriweather" w:cs="Times New Roman"/>
                <w:sz w:val="16"/>
                <w:szCs w:val="16"/>
              </w:rPr>
              <w:t> </w:t>
            </w:r>
            <w:r>
              <w:rPr>
                <w:rFonts w:ascii="Merriweather" w:hAnsi="Merriweather" w:cs="Times New Roman"/>
                <w:sz w:val="16"/>
                <w:szCs w:val="16"/>
              </w:rPr>
              <w:t>– 19:30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>
              <w:rPr>
                <w:rFonts w:ascii="Merriweather" w:hAnsi="Merriweather" w:cs="Times New Roman"/>
                <w:sz w:val="16"/>
                <w:szCs w:val="16"/>
              </w:rPr>
              <w:t>201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2013F1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632D33C" w:rsidR="00453362" w:rsidRPr="002013F1" w:rsidRDefault="00B67E8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r</w:t>
            </w:r>
            <w:r w:rsidR="00CB6A8D" w:rsidRPr="002013F1">
              <w:rPr>
                <w:rFonts w:ascii="Merriweather" w:hAnsi="Merriweather" w:cs="Times New Roman"/>
                <w:sz w:val="16"/>
                <w:szCs w:val="16"/>
              </w:rPr>
              <w:t>uski/hrvatski</w:t>
            </w:r>
          </w:p>
        </w:tc>
      </w:tr>
      <w:tr w:rsidR="00453362" w:rsidRPr="002013F1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2013F1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5DEC9490" w:rsidR="00453362" w:rsidRPr="002013F1" w:rsidRDefault="0063699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 w:rsidR="00AF23F6">
              <w:rPr>
                <w:rFonts w:ascii="Merriweather" w:hAnsi="Merriweather" w:cs="Times New Roman"/>
                <w:sz w:val="16"/>
                <w:szCs w:val="16"/>
              </w:rPr>
              <w:t>10.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  <w:r w:rsidR="006C236B">
              <w:rPr>
                <w:rFonts w:ascii="Merriweather" w:hAnsi="Merriweather" w:cs="Times New Roman"/>
                <w:sz w:val="16"/>
                <w:szCs w:val="16"/>
              </w:rPr>
              <w:t>25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2013F1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891E09C" w:rsidR="00453362" w:rsidRPr="002013F1" w:rsidRDefault="00AF23F6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636997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 xml:space="preserve">. </w:t>
            </w:r>
            <w:r>
              <w:rPr>
                <w:rFonts w:ascii="Merriweather" w:hAnsi="Merriweather" w:cs="Times New Roman"/>
                <w:sz w:val="16"/>
                <w:szCs w:val="16"/>
              </w:rPr>
              <w:t>1.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 xml:space="preserve"> 202</w:t>
            </w:r>
            <w:r w:rsidR="00636997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F1051E" w:rsidRPr="002013F1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2013F1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9049279" w:rsidR="00453362" w:rsidRPr="002013F1" w:rsidRDefault="00CB6A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2013F1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2013F1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65141F2B" w:rsidR="00453362" w:rsidRPr="002013F1" w:rsidRDefault="00CB6A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prof. dr. sc. Rafaela Božić</w:t>
            </w:r>
          </w:p>
        </w:tc>
      </w:tr>
      <w:tr w:rsidR="00453362" w:rsidRPr="002013F1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2013F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406E4E8" w14:textId="03614367" w:rsidR="00601AEA" w:rsidRDefault="00601A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A574A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rbozic@inbox.ru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66D33DC5" w14:textId="12697ECF" w:rsidR="00453362" w:rsidRPr="002013F1" w:rsidRDefault="00601A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A574AF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rbozic@unizd.hr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2013F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4FC37D1" w14:textId="47B13979" w:rsidR="00453362" w:rsidRPr="002013F1" w:rsidRDefault="00601AEA" w:rsidP="00601AE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601AEA">
              <w:rPr>
                <w:rFonts w:ascii="Merriweather" w:hAnsi="Merriweather" w:cs="Times New Roman"/>
                <w:sz w:val="16"/>
                <w:szCs w:val="16"/>
              </w:rPr>
              <w:t>U kabinetu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792DB8">
              <w:rPr>
                <w:rFonts w:ascii="Merriweather" w:hAnsi="Merriweather" w:cs="Times New Roman"/>
                <w:sz w:val="16"/>
                <w:szCs w:val="16"/>
              </w:rPr>
              <w:t>srijedom od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 xml:space="preserve"> 17</w:t>
            </w:r>
            <w:r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>00</w:t>
            </w:r>
            <w:r>
              <w:rPr>
                <w:rFonts w:ascii="Merriweather" w:hAnsi="Merriweather" w:cs="Times New Roman"/>
                <w:sz w:val="16"/>
                <w:szCs w:val="16"/>
              </w:rPr>
              <w:t> </w:t>
            </w:r>
            <w:r w:rsidR="00792DB8">
              <w:rPr>
                <w:rFonts w:ascii="Merriweather" w:hAnsi="Merriweather" w:cs="Times New Roman"/>
                <w:sz w:val="16"/>
                <w:szCs w:val="16"/>
              </w:rPr>
              <w:t>do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 xml:space="preserve"> 18</w:t>
            </w:r>
            <w:r>
              <w:rPr>
                <w:rFonts w:ascii="Merriweather" w:hAnsi="Merriweather" w:cs="Times New Roman"/>
                <w:sz w:val="16"/>
                <w:szCs w:val="16"/>
              </w:rPr>
              <w:t>: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>00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(</w:t>
            </w:r>
            <w:r w:rsidRPr="00601AEA">
              <w:rPr>
                <w:rFonts w:ascii="Merriweather" w:hAnsi="Merriweather" w:cs="Times New Roman"/>
                <w:sz w:val="16"/>
                <w:szCs w:val="16"/>
              </w:rPr>
              <w:t>uz prethodni dogovor</w:t>
            </w:r>
            <w:r>
              <w:rPr>
                <w:rFonts w:ascii="Merriweather" w:hAnsi="Merriweather" w:cs="Times New Roman"/>
                <w:sz w:val="16"/>
                <w:szCs w:val="16"/>
              </w:rPr>
              <w:t>)</w:t>
            </w:r>
            <w:r w:rsidR="00CB6A8D" w:rsidRPr="002013F1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  <w:p w14:paraId="065F9E64" w14:textId="362265D5" w:rsidR="00CB6A8D" w:rsidRPr="002013F1" w:rsidRDefault="00CB6A8D" w:rsidP="00CB6A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Svakog radnog dana putem e-</w:t>
            </w:r>
            <w:r w:rsidR="00A70D6A">
              <w:rPr>
                <w:rFonts w:ascii="Merriweather" w:hAnsi="Merriweather" w:cs="Times New Roman"/>
                <w:sz w:val="16"/>
                <w:szCs w:val="16"/>
              </w:rPr>
              <w:t>pošte</w:t>
            </w:r>
            <w:r w:rsidRPr="002013F1">
              <w:rPr>
                <w:rFonts w:ascii="Merriweather" w:hAnsi="Merriweather"/>
              </w:rPr>
              <w:t xml:space="preserve"> </w:t>
            </w:r>
            <w:hyperlink r:id="rId13" w:history="1">
              <w:r w:rsidRPr="002013F1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rbozic@inbox.ru</w:t>
              </w:r>
            </w:hyperlink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i</w:t>
            </w:r>
          </w:p>
          <w:p w14:paraId="784ABAC2" w14:textId="63C3B7EE" w:rsidR="00CB6A8D" w:rsidRPr="002013F1" w:rsidRDefault="00CB6A8D" w:rsidP="00CB6A8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70D6A">
              <w:rPr>
                <w:rFonts w:ascii="Merriweather" w:hAnsi="Merriweather" w:cs="Times New Roman"/>
                <w:i/>
                <w:iCs/>
                <w:sz w:val="16"/>
                <w:szCs w:val="16"/>
              </w:rPr>
              <w:t>online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putem aplikacije Google</w:t>
            </w:r>
            <w:r w:rsidR="00A70D6A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A70D6A">
              <w:rPr>
                <w:rFonts w:ascii="Merriweather" w:hAnsi="Merriweather" w:cs="Times New Roman"/>
                <w:sz w:val="16"/>
                <w:szCs w:val="16"/>
              </w:rPr>
              <w:t>M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>eet</w:t>
            </w:r>
            <w:proofErr w:type="spellEnd"/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prema potrebi i dogovoru.</w:t>
            </w:r>
          </w:p>
        </w:tc>
      </w:tr>
      <w:tr w:rsidR="00453362" w:rsidRPr="002013F1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711AADE7" w:rsidR="00453362" w:rsidRPr="002013F1" w:rsidRDefault="00CB6A8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prof. dr. sc. Rafaela Božić</w:t>
            </w:r>
          </w:p>
        </w:tc>
      </w:tr>
      <w:tr w:rsidR="00453362" w:rsidRPr="002013F1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2013F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5DA2328B" w:rsidR="00453362" w:rsidRPr="002013F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2013F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2013F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2013F1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43272FE8" w:rsidR="00453362" w:rsidRPr="002013F1" w:rsidRDefault="00F1051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d</w:t>
            </w:r>
            <w:r w:rsidR="00CB6A8D" w:rsidRPr="002013F1">
              <w:rPr>
                <w:rFonts w:ascii="Merriweather" w:hAnsi="Merriweather" w:cs="Times New Roman"/>
                <w:sz w:val="16"/>
                <w:szCs w:val="16"/>
              </w:rPr>
              <w:t>r.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CB6A8D" w:rsidRPr="002013F1">
              <w:rPr>
                <w:rFonts w:ascii="Merriweather" w:hAnsi="Merriweather" w:cs="Times New Roman"/>
                <w:sz w:val="16"/>
                <w:szCs w:val="16"/>
              </w:rPr>
              <w:t>sc. Antonia Pintarić</w:t>
            </w:r>
          </w:p>
        </w:tc>
      </w:tr>
      <w:tr w:rsidR="00453362" w:rsidRPr="002013F1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2013F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291165A5" w:rsidR="00453362" w:rsidRPr="002013F1" w:rsidRDefault="00F1051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4" w:history="1">
              <w:r w:rsidRPr="002013F1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apintari1@unizd.hr</w:t>
              </w:r>
            </w:hyperlink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2013F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0E2AB337" w:rsidR="00453362" w:rsidRPr="002013F1" w:rsidRDefault="00F1051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Četvrtkom 11:00 – 13:00</w:t>
            </w:r>
          </w:p>
        </w:tc>
      </w:tr>
      <w:tr w:rsidR="00453362" w:rsidRPr="002013F1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2013F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2013F1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49B550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048CE3B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2013F1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2013F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0430E91B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53362" w:rsidRPr="002013F1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2013F1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2013F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3B77DDC8" w14:textId="4122A3EC" w:rsidR="00310F9A" w:rsidRPr="002013F1" w:rsidRDefault="00CB6A8D" w:rsidP="00200083">
            <w:p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Na razini predmeta očekivani </w:t>
            </w:r>
            <w:r w:rsidR="00487229">
              <w:rPr>
                <w:rFonts w:ascii="Merriweather" w:hAnsi="Merriweather" w:cs="Times New Roman"/>
                <w:sz w:val="16"/>
                <w:szCs w:val="16"/>
              </w:rPr>
              <w:t xml:space="preserve">su 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>ishodi učenja:</w:t>
            </w:r>
          </w:p>
          <w:p w14:paraId="551ED22B" w14:textId="119991A3" w:rsidR="00CB6A8D" w:rsidRPr="00AF23F6" w:rsidRDefault="00200083" w:rsidP="00AF23F6">
            <w:pPr>
              <w:pStyle w:val="Odlomakpopisa"/>
              <w:numPr>
                <w:ilvl w:val="0"/>
                <w:numId w:val="3"/>
              </w:num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23F6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tudent/</w:t>
            </w:r>
            <w:proofErr w:type="spellStart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ica</w:t>
            </w:r>
            <w:proofErr w:type="spellEnd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 xml:space="preserve"> će moći čitati i analizirati na ruskom odabrane odlomke ruskih temeljnih tekstova s područja književnog prevođenja</w:t>
            </w:r>
          </w:p>
          <w:p w14:paraId="1A7191CB" w14:textId="5D2BB824" w:rsidR="00CB6A8D" w:rsidRPr="00AF23F6" w:rsidRDefault="00200083" w:rsidP="00AF23F6">
            <w:pPr>
              <w:pStyle w:val="Odlomakpopisa"/>
              <w:numPr>
                <w:ilvl w:val="0"/>
                <w:numId w:val="3"/>
              </w:num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23F6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tudent/</w:t>
            </w:r>
            <w:proofErr w:type="spellStart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ica</w:t>
            </w:r>
            <w:proofErr w:type="spellEnd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 xml:space="preserve"> će na ruskom moći izložiti osnovni pregled povijesti prevođenja ruske književnosti na hrvatski jezik</w:t>
            </w:r>
          </w:p>
          <w:p w14:paraId="11F2C7E1" w14:textId="5E46AEFD" w:rsidR="00CB6A8D" w:rsidRPr="00AF23F6" w:rsidRDefault="00200083" w:rsidP="00AF23F6">
            <w:pPr>
              <w:pStyle w:val="Odlomakpopisa"/>
              <w:numPr>
                <w:ilvl w:val="0"/>
                <w:numId w:val="3"/>
              </w:num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23F6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tudent/</w:t>
            </w:r>
            <w:proofErr w:type="spellStart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ica</w:t>
            </w:r>
            <w:proofErr w:type="spellEnd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 xml:space="preserve"> će moći na ruskom izložiti temeljne probleme prilikom prevođenja umjetničkog teksta</w:t>
            </w:r>
          </w:p>
          <w:p w14:paraId="29EABFE2" w14:textId="0B8C8BE8" w:rsidR="00CB6A8D" w:rsidRPr="00AF23F6" w:rsidRDefault="00200083" w:rsidP="00AF23F6">
            <w:pPr>
              <w:pStyle w:val="Odlomakpopisa"/>
              <w:numPr>
                <w:ilvl w:val="0"/>
                <w:numId w:val="3"/>
              </w:num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23F6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tudent/</w:t>
            </w:r>
            <w:proofErr w:type="spellStart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ica</w:t>
            </w:r>
            <w:proofErr w:type="spellEnd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 xml:space="preserve"> će moći na ruskom održati izlaganje od 15 do 20 minuta u kojem će izložiti analizu prijevoda poetskog teksta</w:t>
            </w:r>
          </w:p>
          <w:p w14:paraId="13E2A08B" w14:textId="13405D2A" w:rsidR="00CB6A8D" w:rsidRPr="00AF23F6" w:rsidRDefault="00200083" w:rsidP="00AF23F6">
            <w:pPr>
              <w:pStyle w:val="Odlomakpopisa"/>
              <w:numPr>
                <w:ilvl w:val="0"/>
                <w:numId w:val="3"/>
              </w:num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23F6">
              <w:rPr>
                <w:rFonts w:ascii="Merriweather" w:hAnsi="Merriweather" w:cs="Times New Roman"/>
                <w:sz w:val="16"/>
                <w:szCs w:val="16"/>
              </w:rPr>
              <w:t>s</w:t>
            </w:r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tudent/</w:t>
            </w:r>
            <w:proofErr w:type="spellStart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>ica</w:t>
            </w:r>
            <w:proofErr w:type="spellEnd"/>
            <w:r w:rsidR="00CB6A8D" w:rsidRPr="00AF23F6">
              <w:rPr>
                <w:rFonts w:ascii="Merriweather" w:hAnsi="Merriweather" w:cs="Times New Roman"/>
                <w:sz w:val="16"/>
                <w:szCs w:val="16"/>
              </w:rPr>
              <w:t xml:space="preserve"> će izraditi svoj prevodilački portfolio.</w:t>
            </w:r>
          </w:p>
        </w:tc>
      </w:tr>
      <w:tr w:rsidR="00310F9A" w:rsidRPr="002013F1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2013F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6C668235" w14:textId="3FEF7726" w:rsidR="00CB6A8D" w:rsidRPr="00200083" w:rsidRDefault="00200083" w:rsidP="00487229">
            <w:pPr>
              <w:tabs>
                <w:tab w:val="left" w:pos="27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Na razini </w:t>
            </w:r>
            <w:r>
              <w:rPr>
                <w:rFonts w:ascii="Merriweather" w:hAnsi="Merriweather" w:cs="Times New Roman"/>
                <w:sz w:val="16"/>
                <w:szCs w:val="16"/>
              </w:rPr>
              <w:t>programa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očekivani </w:t>
            </w:r>
            <w:r w:rsidR="00487229">
              <w:rPr>
                <w:rFonts w:ascii="Merriweather" w:hAnsi="Merriweather" w:cs="Times New Roman"/>
                <w:sz w:val="16"/>
                <w:szCs w:val="16"/>
              </w:rPr>
              <w:t xml:space="preserve">su 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>ishodi učenja:</w:t>
            </w:r>
          </w:p>
          <w:p w14:paraId="339E1893" w14:textId="77777777" w:rsidR="00CB6A8D" w:rsidRPr="00ED791F" w:rsidRDefault="00CB6A8D" w:rsidP="00CB6A8D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z w:val="16"/>
                <w:szCs w:val="16"/>
              </w:rPr>
              <w:t>definirati probleme u prevoditeljskom procesu i pronalaziti rješenja odabirom odgovarajućih strategija prijevoda ovisno o vrsti prijevoda i radnom kontekstu,</w:t>
            </w:r>
          </w:p>
          <w:p w14:paraId="532199D7" w14:textId="77777777" w:rsidR="00CB6A8D" w:rsidRPr="00ED791F" w:rsidRDefault="00CB6A8D" w:rsidP="00CB6A8D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z w:val="16"/>
                <w:szCs w:val="16"/>
              </w:rPr>
              <w:t>objasniti i primijeniti etička načela i norme koje se primjenjuju u prevoditeljskoj struci,</w:t>
            </w:r>
          </w:p>
          <w:p w14:paraId="15B97F0F" w14:textId="77777777" w:rsidR="00200083" w:rsidRDefault="00CB6A8D" w:rsidP="00200083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z w:val="16"/>
                <w:szCs w:val="16"/>
              </w:rPr>
              <w:lastRenderedPageBreak/>
              <w:t>uspješno komunicirati s naručiteljima prijevoda i kolegama uz primjenu suvremenih računalnih tehnologija</w:t>
            </w:r>
          </w:p>
          <w:p w14:paraId="592F1622" w14:textId="77777777" w:rsidR="00200083" w:rsidRDefault="00200083" w:rsidP="00200083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z w:val="16"/>
                <w:szCs w:val="16"/>
              </w:rPr>
              <w:t>opisati i razumjeti teorijske i primijenjene aspekte znanosti o prevođenju</w:t>
            </w:r>
            <w:r w:rsidRPr="00200083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  <w:p w14:paraId="7E8B2C67" w14:textId="77777777" w:rsidR="00200083" w:rsidRDefault="00200083" w:rsidP="00200083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200083">
              <w:rPr>
                <w:rFonts w:ascii="Merriweather" w:hAnsi="Merriweather" w:cs="Times New Roman"/>
                <w:sz w:val="16"/>
                <w:szCs w:val="16"/>
              </w:rPr>
              <w:t>razumjeti i identificirati temeljne postupke i strategije</w:t>
            </w:r>
          </w:p>
          <w:p w14:paraId="196073D6" w14:textId="77777777" w:rsidR="00200083" w:rsidRDefault="00200083" w:rsidP="00200083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z w:val="16"/>
                <w:szCs w:val="16"/>
              </w:rPr>
              <w:t>poznavati i identificirati temeljne suvremene lingvističke discipline</w:t>
            </w:r>
            <w:r w:rsidRPr="00200083">
              <w:rPr>
                <w:rFonts w:ascii="Merriweather" w:hAnsi="Merriweather" w:cs="Times New Roman"/>
                <w:sz w:val="16"/>
                <w:szCs w:val="16"/>
              </w:rPr>
              <w:t xml:space="preserve"> prevođenja</w:t>
            </w:r>
          </w:p>
          <w:p w14:paraId="1A0C8165" w14:textId="77777777" w:rsidR="00200083" w:rsidRDefault="00200083" w:rsidP="00200083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z w:val="16"/>
                <w:szCs w:val="16"/>
              </w:rPr>
              <w:t>razumjeti i razlikovati specifičnosti različitih vrsta prevođenja</w:t>
            </w:r>
          </w:p>
          <w:p w14:paraId="4B17B029" w14:textId="6CCCB7A9" w:rsidR="00CB6A8D" w:rsidRPr="00200083" w:rsidRDefault="00200083" w:rsidP="00200083">
            <w:pPr>
              <w:pStyle w:val="Odlomakpopisa"/>
              <w:numPr>
                <w:ilvl w:val="0"/>
                <w:numId w:val="1"/>
              </w:numPr>
              <w:rPr>
                <w:rFonts w:ascii="Merriweather" w:hAnsi="Merriweather" w:cs="Times New Roman"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snapToGrid w:val="0"/>
                <w:sz w:val="16"/>
                <w:szCs w:val="16"/>
              </w:rPr>
              <w:t xml:space="preserve">primjenjivati </w:t>
            </w:r>
            <w:r w:rsidRPr="00ED791F">
              <w:rPr>
                <w:rFonts w:ascii="Merriweather" w:hAnsi="Merriweather" w:cs="Times New Roman"/>
                <w:sz w:val="16"/>
                <w:szCs w:val="16"/>
              </w:rPr>
              <w:t>specifične vještine i tehnike književnog prevođenja</w:t>
            </w:r>
            <w:r w:rsidR="00CB6A8D" w:rsidRPr="00200083">
              <w:rPr>
                <w:rFonts w:ascii="Merriweather" w:hAnsi="Merriweather" w:cs="Arial"/>
                <w:sz w:val="16"/>
                <w:szCs w:val="16"/>
              </w:rPr>
              <w:t>.</w:t>
            </w:r>
          </w:p>
          <w:p w14:paraId="12CA2F78" w14:textId="77777777" w:rsidR="00310F9A" w:rsidRPr="00ED791F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</w:p>
        </w:tc>
      </w:tr>
      <w:tr w:rsidR="00FC2198" w:rsidRPr="002013F1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2013F1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2013F1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2CD08BF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684DDEC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57904111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BDAD62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2013F1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32BFEFB2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B6F5914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EB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31579741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00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2013F1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2013F1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13DF5CA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B367683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0008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E221479" w14:textId="77777777" w:rsidR="00FC2198" w:rsidRPr="002013F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  <w:p w14:paraId="0140A634" w14:textId="7FD00B24" w:rsidR="00CB6A8D" w:rsidRPr="002013F1" w:rsidRDefault="00CB6A8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portfolio</w:t>
            </w:r>
          </w:p>
        </w:tc>
      </w:tr>
      <w:tr w:rsidR="00FC2198" w:rsidRPr="002013F1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627A67C" w14:textId="15E3BFA5" w:rsidR="007132EF" w:rsidRDefault="007132EF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Redovito pohađanje nastave</w:t>
            </w:r>
            <w:r w:rsidR="00EA17EE">
              <w:rPr>
                <w:rFonts w:ascii="Merriweather" w:eastAsia="MS Gothic" w:hAnsi="Merriweather" w:cs="Times New Roman"/>
                <w:sz w:val="16"/>
                <w:szCs w:val="16"/>
              </w:rPr>
              <w:t>; r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edovito predavanje </w:t>
            </w:r>
            <w:r w:rsidR="00EA17EE">
              <w:rPr>
                <w:rFonts w:ascii="Merriweather" w:eastAsia="MS Gothic" w:hAnsi="Merriweather" w:cs="Times New Roman"/>
                <w:sz w:val="16"/>
                <w:szCs w:val="16"/>
              </w:rPr>
              <w:t>zadaća; izlaganje.</w:t>
            </w:r>
          </w:p>
          <w:p w14:paraId="18E9337C" w14:textId="77777777" w:rsidR="007132EF" w:rsidRDefault="007132EF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CA39614" w14:textId="16D2D832" w:rsidR="00EA17EE" w:rsidRDefault="00EA17EE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Prevodilački portfolio, seminarski rad i pismeni ispit</w:t>
            </w:r>
            <w:r w:rsidR="00CB6A8D" w:rsidRPr="00ED79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mogu se izvršiti</w:t>
            </w:r>
            <w:r w:rsidR="00CB6A8D" w:rsidRPr="00ED79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bez </w:t>
            </w:r>
            <w:r w:rsidR="00AB232D">
              <w:rPr>
                <w:rFonts w:ascii="Merriweather" w:eastAsia="MS Gothic" w:hAnsi="Merriweather" w:cs="Times New Roman"/>
                <w:sz w:val="16"/>
                <w:szCs w:val="16"/>
              </w:rPr>
              <w:t>uvjeta</w:t>
            </w:r>
            <w:r w:rsidR="00CB6A8D" w:rsidRPr="00ED79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ali se ukupna ocjena može dobiti tek nakon izvršenja svih obaveza. </w:t>
            </w:r>
          </w:p>
          <w:p w14:paraId="75280B7A" w14:textId="77777777" w:rsidR="00BD18B3" w:rsidRDefault="00BD18B3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800E5BC" w14:textId="7DBED2A2" w:rsidR="00CB6A8D" w:rsidRPr="00ED791F" w:rsidRDefault="00CB6A8D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ED791F">
              <w:rPr>
                <w:rFonts w:ascii="Merriweather" w:eastAsia="MS Gothic" w:hAnsi="Merriweather" w:cs="Times New Roman"/>
                <w:sz w:val="16"/>
                <w:szCs w:val="16"/>
              </w:rPr>
              <w:t>Ocjena „izvrstan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”</w:t>
            </w:r>
            <w:r w:rsidRPr="00ED79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 prevodilački portfolio može se dobiti samo u prvom ispitnom roku (veljača: oba termina). </w:t>
            </w:r>
          </w:p>
          <w:p w14:paraId="34AA26DC" w14:textId="77777777" w:rsidR="00CB6A8D" w:rsidRPr="00ED791F" w:rsidRDefault="00CB6A8D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/>
                <w:sz w:val="16"/>
                <w:szCs w:val="16"/>
              </w:rPr>
            </w:pPr>
          </w:p>
          <w:p w14:paraId="61A5A804" w14:textId="5C2D8287" w:rsidR="00CB6A8D" w:rsidRPr="002013F1" w:rsidRDefault="00CB6A8D" w:rsidP="008619B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iCs/>
                <w:sz w:val="16"/>
                <w:szCs w:val="16"/>
              </w:rPr>
            </w:pPr>
            <w:r w:rsidRPr="00ED791F">
              <w:rPr>
                <w:rFonts w:ascii="Merriweather" w:hAnsi="Merriweather" w:cs="Times New Roman"/>
                <w:iCs/>
                <w:sz w:val="16"/>
                <w:szCs w:val="16"/>
              </w:rPr>
              <w:t>Pismenog ispita mogu biti oslobođeni studenti/</w:t>
            </w:r>
            <w:proofErr w:type="spellStart"/>
            <w:r w:rsidRPr="00ED791F">
              <w:rPr>
                <w:rFonts w:ascii="Merriweather" w:hAnsi="Merriweather" w:cs="Times New Roman"/>
                <w:iCs/>
                <w:sz w:val="16"/>
                <w:szCs w:val="16"/>
              </w:rPr>
              <w:t>ce</w:t>
            </w:r>
            <w:proofErr w:type="spellEnd"/>
            <w:r w:rsidRPr="00ED791F">
              <w:rPr>
                <w:rFonts w:ascii="Merriweather" w:hAnsi="Merriweather" w:cs="Times New Roman"/>
                <w:iCs/>
                <w:sz w:val="16"/>
                <w:szCs w:val="16"/>
              </w:rPr>
              <w:t xml:space="preserve"> koji tijekom semestra na nastavi pokažu odgovarajuće znanje (kroz diskusije na temu nastave).</w:t>
            </w:r>
          </w:p>
        </w:tc>
      </w:tr>
      <w:tr w:rsidR="00FC2198" w:rsidRPr="002013F1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560B23D5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6A8D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8D21A1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3DAC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2013F1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8929419" w:rsidR="00FC2198" w:rsidRPr="002013F1" w:rsidRDefault="00E560EC" w:rsidP="00995D8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60EC">
              <w:rPr>
                <w:rFonts w:ascii="Merriweather" w:hAnsi="Merriweather" w:cs="Times New Roman"/>
                <w:sz w:val="16"/>
                <w:szCs w:val="16"/>
              </w:rPr>
              <w:t>26. 1. 2026. – 20. 2. 2026.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5E74600" w:rsidR="00FC2198" w:rsidRPr="002013F1" w:rsidRDefault="00E560E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E560EC">
              <w:rPr>
                <w:rFonts w:ascii="Merriweather" w:hAnsi="Merriweather" w:cs="Times New Roman"/>
                <w:sz w:val="16"/>
                <w:szCs w:val="16"/>
              </w:rPr>
              <w:t>1. 9. 2026. – 25. 9. 2026.</w:t>
            </w:r>
          </w:p>
        </w:tc>
      </w:tr>
      <w:tr w:rsidR="00FC2198" w:rsidRPr="002013F1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4F98471" w:rsidR="00FC2198" w:rsidRPr="00993374" w:rsidRDefault="00AA3DAC" w:rsidP="003B13D2">
            <w:pPr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Studenti su obvezni</w:t>
            </w:r>
            <w:r w:rsidR="0003620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redovito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pohađati</w:t>
            </w:r>
            <w:r w:rsidR="0003620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nastavu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 Na seminarima aktivno sudjeluju u analizi zadanih prijevoda, a na temelju takve pripreme i dodatnih objašnjenja (</w:t>
            </w:r>
            <w:proofErr w:type="spellStart"/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mentoriranja</w:t>
            </w:r>
            <w:proofErr w:type="spellEnd"/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 samostalno izlažu (20 minuta, na ruskom jeziku) analizu prijevoda određene pjesme s ruskoga na hrvatski jezik. Forma izlaganja prilagođena je formi izlaganja analize prijevoda na znanstvenom skupu ili analize prijevoda u stručnom tekstu (npr. za potrebe izdavačkih kuća). Također, studenti izrađuju studentski prevodilački portfolio (1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kartica) sastavljen od ulomaka reprezentativnih proznih tekstova ruskih pisaca od perioda realizma do postmodernizma. Na taj način studenti se aktivno upoznaju s prevođenjem različitih individualnih stilova pisaca kako bi od početka jasno prihvatili koncept da različiti pisci i različiti individualni stilovi jezika izvornika moraju rezultirati i različitim individualnim stilovima jezika cilja. Za odličan uspjeh portfolio studenti moraju predati u prvom ispitnom roku – upravo zbog simuliranja realne situacije – izdavači penaliziraju svako kašnjenje prevoditelja. U drugim rokovima moguće je dobiti prolaznu ocjenu, ali ona ne može biti „izvrstan</w:t>
            </w:r>
            <w:r w:rsidR="00090607">
              <w:rPr>
                <w:rFonts w:ascii="Merriweather" w:eastAsia="MS Gothic" w:hAnsi="Merriweather" w:cs="Times New Roman"/>
                <w:sz w:val="16"/>
                <w:szCs w:val="16"/>
              </w:rPr>
              <w:t>”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jer u realnoj situaciji postoji velika vjerojatnost da bi bilo kakav oblik kašnjenja izdavač penalizirao prekidom ugovora. Na pismenom ispitu studenti pokazuju svoje znanje iz temeljnih </w:t>
            </w:r>
            <w:proofErr w:type="spellStart"/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traduktoloških</w:t>
            </w:r>
            <w:proofErr w:type="spellEnd"/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pojmova 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povijesti prevođenja ruske književnosti na hrvatski jezik.</w:t>
            </w:r>
          </w:p>
        </w:tc>
      </w:tr>
      <w:tr w:rsidR="00FC2198" w:rsidRPr="002013F1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E8A7855" w14:textId="77777777" w:rsidR="00AA3DAC" w:rsidRPr="00013BE0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013BE0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PREDAVANJA</w:t>
            </w:r>
          </w:p>
          <w:p w14:paraId="368735FC" w14:textId="00FA6126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534A16A8" w14:textId="4AA06EE8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Uvodni sat – princip rada – literatura.</w:t>
            </w:r>
          </w:p>
          <w:p w14:paraId="5C5407F1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Povijest književnog prevođenja, povijest prevođenja književnih tekstova na ruski jezik</w:t>
            </w:r>
          </w:p>
          <w:p w14:paraId="2AD128AA" w14:textId="1EC196D9" w:rsidR="00743062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История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художественной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литературы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История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художественной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литературы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русский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язык</w:t>
            </w:r>
            <w:proofErr w:type="spellEnd"/>
          </w:p>
          <w:p w14:paraId="2C7DF47E" w14:textId="77777777" w:rsidR="00743062" w:rsidRPr="002013F1" w:rsidRDefault="00743062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1A430A9" w14:textId="27E941FD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2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2F2DE871" w14:textId="2D72203A" w:rsidR="00AA3DAC" w:rsidRDefault="00743062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Povijest prevođenja ruske književnosti  na hrvatski 1</w:t>
            </w:r>
          </w:p>
          <w:p w14:paraId="15BEEE2E" w14:textId="61966D24" w:rsidR="007132EF" w:rsidRPr="002013F1" w:rsidRDefault="007132EF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История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русской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литературы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хорватский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язык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</w:t>
            </w:r>
          </w:p>
          <w:p w14:paraId="4DC5B7E8" w14:textId="77777777" w:rsidR="00743062" w:rsidRPr="002013F1" w:rsidRDefault="00743062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3583DA" w14:textId="7D8CA94C" w:rsidR="00AA3DAC" w:rsidRDefault="00AA3DAC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3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21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14617E2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Povijest prevođenja ruske književnosti  na hrvatski 2 (nakon 1945.)</w:t>
            </w:r>
          </w:p>
          <w:p w14:paraId="1670D3FC" w14:textId="790EE2E9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История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русской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литературы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хорватский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язык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после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1945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года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505FD906" w14:textId="77777777" w:rsidR="00743062" w:rsidRPr="002013F1" w:rsidRDefault="00743062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24FCC77" w14:textId="1FAC27A6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TJEDAN 4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196CCD8D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Povijest prevođenja ruske književnosti na hrvatski 3 (nakon 1992.)</w:t>
            </w:r>
          </w:p>
          <w:p w14:paraId="0DDD3578" w14:textId="7E166AB1" w:rsidR="00743062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русской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литературы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хорватский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язык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после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1992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года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8B3C92D" w14:textId="77777777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722C21" w14:textId="319ECCB7" w:rsidR="00AA3DAC" w:rsidRDefault="00AA3DAC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5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311800D8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Stilem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jedinica prijevoda.</w:t>
            </w:r>
          </w:p>
          <w:p w14:paraId="5957763C" w14:textId="00E535FD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Стилема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как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единица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примере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романа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Евгения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Замятина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«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Мы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»)</w:t>
            </w:r>
          </w:p>
          <w:p w14:paraId="0B9D8DEB" w14:textId="77777777" w:rsidR="00743062" w:rsidRPr="002013F1" w:rsidRDefault="00743062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CD8B997" w14:textId="46174B63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6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11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7580ED61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Kulturem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kao jedinica prijevoda.  </w:t>
            </w:r>
          </w:p>
          <w:p w14:paraId="17F37247" w14:textId="6E1F8B6F" w:rsidR="00743062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Культурема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как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единица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</w:p>
          <w:p w14:paraId="5076883D" w14:textId="77777777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1CFD9F9" w14:textId="3FB20873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7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13754603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Prijevod vezanih elemenata u tekstu: gradacijski elementi u bajci Ribar i ribica A. S. Puškina </w:t>
            </w:r>
          </w:p>
          <w:p w14:paraId="7ECC4001" w14:textId="150B9864" w:rsidR="00743062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Связность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текста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как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переводческая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проблема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DD15826" w14:textId="77777777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D288F0A" w14:textId="54932295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8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4F0C6C2D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Kreativnost i prijevod</w:t>
            </w:r>
          </w:p>
          <w:p w14:paraId="3EC43B07" w14:textId="2A9EE1C0" w:rsidR="00743062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Перевод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и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креативность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6C974C5" w14:textId="77777777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A2736B5" w14:textId="1555661F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9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3C7C6CE8" w14:textId="77777777" w:rsidR="007132EF" w:rsidRPr="007132EF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Ne pjevaj ljepotice, ljepojko, draga: važnost izbora riječi za interpretaciju i prijevod.</w:t>
            </w:r>
          </w:p>
          <w:p w14:paraId="275F5FFE" w14:textId="0C6ACEBC" w:rsidR="00743062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Важность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одного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>слова</w:t>
            </w:r>
            <w:proofErr w:type="spellEnd"/>
            <w:r w:rsidRPr="007132E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5714D2D5" w14:textId="77777777" w:rsidR="007132EF" w:rsidRPr="002013F1" w:rsidRDefault="007132EF" w:rsidP="007132E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B0C745A" w14:textId="6C793475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10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0945BA4F" w14:textId="77777777" w:rsidR="003B3831" w:rsidRPr="003B383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Gramatika i prijevod</w:t>
            </w:r>
          </w:p>
          <w:p w14:paraId="634DB90F" w14:textId="53091AAD" w:rsidR="00743062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Грамматика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и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перевод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ADB9F65" w14:textId="77777777" w:rsidR="003B3831" w:rsidRPr="002013F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F9A2AE7" w14:textId="6B3D4421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11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0F4964DA" w14:textId="77777777" w:rsidR="003B3831" w:rsidRPr="003B383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Osobitosti prijevoda stihova: rima, figure misli i riječi («Zimska večer»)</w:t>
            </w:r>
          </w:p>
          <w:p w14:paraId="148AD06E" w14:textId="0DAEAF9A" w:rsidR="00743062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Особенности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стихов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рифма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фигуры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мысли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и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фигуры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речи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(«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Зимний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вечер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»)</w:t>
            </w:r>
          </w:p>
          <w:p w14:paraId="0EF4DC68" w14:textId="77777777" w:rsidR="003B3831" w:rsidRPr="002013F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8B760E9" w14:textId="418948E7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12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</w:p>
          <w:p w14:paraId="74A02C0D" w14:textId="77777777" w:rsidR="003B3831" w:rsidRPr="003B383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Prijevod i versifikacija </w:t>
            </w:r>
          </w:p>
          <w:p w14:paraId="7EAE14D6" w14:textId="3FC6E5C9" w:rsidR="00743062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Проблемы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версификации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и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перевода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1DB2872B" w14:textId="77777777" w:rsidR="003B3831" w:rsidRPr="002013F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D869AE" w14:textId="6498F0CC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13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202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E32D3C5" w14:textId="5497A03C" w:rsidR="003B3831" w:rsidRPr="003B383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Zastarijevaju li prijevodi?</w:t>
            </w:r>
          </w:p>
          <w:p w14:paraId="11075843" w14:textId="61D1B0B8" w:rsidR="003B383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Устаревают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ли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>переводы</w:t>
            </w:r>
            <w:proofErr w:type="spellEnd"/>
            <w:r w:rsidRPr="003B383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? </w:t>
            </w:r>
          </w:p>
          <w:p w14:paraId="67F27A67" w14:textId="77777777" w:rsidR="003B3831" w:rsidRPr="002013F1" w:rsidRDefault="003B3831" w:rsidP="003B383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2E2CA52" w14:textId="61E10227" w:rsidR="00743062" w:rsidRPr="002013F1" w:rsidRDefault="00AA3DAC" w:rsidP="00032E0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14</w:t>
            </w:r>
            <w:r w:rsid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: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202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743062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6F11EDF" w14:textId="0895A7C8" w:rsidR="00743062" w:rsidRPr="00032E05" w:rsidRDefault="00743062" w:rsidP="0074306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032E0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Zaključno predavanje. Evaluacija kolegija. </w:t>
            </w:r>
          </w:p>
          <w:p w14:paraId="7067E09F" w14:textId="77777777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8705FA" w14:textId="4C3B5D24" w:rsidR="000327A1" w:rsidRPr="00013BE0" w:rsidRDefault="00AA3DAC" w:rsidP="003750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</w:pPr>
            <w:r w:rsidRPr="00013BE0">
              <w:rPr>
                <w:rFonts w:ascii="Merriweather" w:eastAsia="MS Gothic" w:hAnsi="Merriweather" w:cs="Times New Roman"/>
                <w:b/>
                <w:bCs/>
                <w:sz w:val="16"/>
                <w:szCs w:val="16"/>
              </w:rPr>
              <w:t>SEMINARI</w:t>
            </w:r>
          </w:p>
          <w:p w14:paraId="7C610FB0" w14:textId="373599BC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2A3C7FA" w14:textId="5BA59A2D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Kako izraditi seminar</w:t>
            </w:r>
            <w:r w:rsidR="00036522">
              <w:rPr>
                <w:rFonts w:ascii="Merriweather" w:eastAsia="MS Gothic" w:hAnsi="Merriweather" w:cs="Times New Roman"/>
                <w:sz w:val="16"/>
                <w:szCs w:val="16"/>
              </w:rPr>
              <w:t>ski rad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 Kako izraditi portfolio.</w:t>
            </w:r>
          </w:p>
          <w:p w14:paraId="28E9A0B9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03B912B" w14:textId="23432FBE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2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83D062D" w14:textId="1C4CF734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Komparativna analiza </w:t>
            </w:r>
            <w:r w:rsidR="00A0386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hrvatskih 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prijevoda </w:t>
            </w:r>
            <w:r w:rsidRPr="002013F1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Zločina i kazne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1F0199F8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822A0DF" w14:textId="700183D1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3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49F6A89" w14:textId="789548D6" w:rsidR="000327A1" w:rsidRDefault="00485FBA" w:rsidP="00485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BA">
              <w:rPr>
                <w:rFonts w:ascii="Merriweather" w:eastAsia="MS Gothic" w:hAnsi="Merriweather" w:cs="Times New Roman"/>
                <w:sz w:val="16"/>
                <w:szCs w:val="16"/>
              </w:rPr>
              <w:t>Analiza prijevoda 1</w:t>
            </w:r>
          </w:p>
          <w:p w14:paraId="334943DF" w14:textId="77777777" w:rsidR="00485FBA" w:rsidRPr="002013F1" w:rsidRDefault="00485FBA" w:rsidP="00485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E499B03" w14:textId="5783E816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4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10.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8CC9590" w14:textId="76578717" w:rsidR="00AA3DAC" w:rsidRPr="002013F1" w:rsidRDefault="00485FBA" w:rsidP="00485FB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5FB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prijevoda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</w:p>
          <w:p w14:paraId="5F1D1720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B927621" w14:textId="06E86FFA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5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 1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2CCA8809" w14:textId="20E205ED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prijevoda </w:t>
            </w:r>
            <w:r w:rsidR="00485FBA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</w:p>
          <w:p w14:paraId="5FEEA5DE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0D19603" w14:textId="45A96229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6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374DBA4" w14:textId="108A0376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Analiza prijevoda </w:t>
            </w:r>
            <w:r w:rsidR="00485FBA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</w:p>
          <w:p w14:paraId="71487749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251AE172" w14:textId="2151A801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TJEDAN 7 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(1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8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39697EE8" w14:textId="587BE12A" w:rsidR="000327A1" w:rsidRDefault="00C03253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NERADNI DAN </w:t>
            </w:r>
          </w:p>
          <w:p w14:paraId="29268376" w14:textId="77777777" w:rsidR="00C03253" w:rsidRPr="002013F1" w:rsidRDefault="00C03253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C2FD33F" w14:textId="236BED2C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8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11.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11C7F8B2" w14:textId="177EFCE8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prijevoda </w:t>
            </w:r>
            <w:r w:rsidR="00485FBA">
              <w:rPr>
                <w:rFonts w:ascii="Merriweather" w:eastAsia="MS Gothic" w:hAnsi="Merriweather" w:cs="Times New Roman"/>
                <w:sz w:val="16"/>
                <w:szCs w:val="16"/>
              </w:rPr>
              <w:t>5</w:t>
            </w:r>
          </w:p>
          <w:p w14:paraId="02364743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F9C9237" w14:textId="231AA4F3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9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 1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74A221BE" w14:textId="4155B2AB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prijevoda </w:t>
            </w:r>
            <w:r w:rsidR="00485FBA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</w:p>
          <w:p w14:paraId="17B9CBCE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AF56718" w14:textId="3EEA389B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10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9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12.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F1051E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0380BAF2" w14:textId="0EF0CDBB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Analiza prijevoda </w:t>
            </w:r>
            <w:r w:rsidR="00485FBA">
              <w:rPr>
                <w:rFonts w:ascii="Merriweather" w:eastAsia="MS Gothic" w:hAnsi="Merriweather" w:cs="Times New Roman"/>
                <w:sz w:val="16"/>
                <w:szCs w:val="16"/>
              </w:rPr>
              <w:t>7</w:t>
            </w:r>
          </w:p>
          <w:p w14:paraId="3446A57E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C90845E" w14:textId="6B669F58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11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12. </w:t>
            </w:r>
            <w:r w:rsidR="007132EF">
              <w:rPr>
                <w:rFonts w:ascii="Merriweather" w:eastAsia="MS Gothic" w:hAnsi="Merriweather" w:cs="Times New Roman"/>
                <w:sz w:val="16"/>
                <w:szCs w:val="16"/>
              </w:rPr>
              <w:t>2025.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  <w:p w14:paraId="4F32FBAA" w14:textId="6F8E57CD" w:rsidR="00AA3DAC" w:rsidRDefault="00710788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Metafora i prijevod</w:t>
            </w:r>
          </w:p>
          <w:p w14:paraId="4FC54B6A" w14:textId="77777777" w:rsidR="0071793B" w:rsidRDefault="0071793B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7615A9E2" w14:textId="29D1C0A9" w:rsidR="0071793B" w:rsidRDefault="0071793B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TJEDAN 12 (23. 12. 2025.)</w:t>
            </w:r>
          </w:p>
          <w:p w14:paraId="06DB1DBC" w14:textId="0A20C206" w:rsidR="0071793B" w:rsidRDefault="0071793B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Studentska izlaganja</w:t>
            </w:r>
          </w:p>
          <w:p w14:paraId="284EF00D" w14:textId="77777777" w:rsidR="000327A1" w:rsidRPr="002013F1" w:rsidRDefault="000327A1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34513D1" w14:textId="1639C216" w:rsidR="00AA3DAC" w:rsidRPr="002013F1" w:rsidRDefault="00AA3DAC" w:rsidP="00AA3DA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TJEDAN 1</w:t>
            </w:r>
            <w:r w:rsidR="00865339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(1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3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 1. 202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</w:p>
          <w:p w14:paraId="01D83AAA" w14:textId="5BCD11B8" w:rsidR="00FC2198" w:rsidRDefault="00AA3DAC" w:rsidP="00D452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Studentska izlaganja</w:t>
            </w:r>
          </w:p>
          <w:p w14:paraId="7CE0C1FD" w14:textId="77777777" w:rsidR="00AF23F6" w:rsidRDefault="00AF23F6" w:rsidP="00D452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1A6973" w14:textId="2ED9E99E" w:rsidR="00AF23F6" w:rsidRDefault="00AF23F6" w:rsidP="00D452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TJEDAN 14 (2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 1. 202</w:t>
            </w:r>
            <w:r w:rsidR="0071793B">
              <w:rPr>
                <w:rFonts w:ascii="Merriweather" w:eastAsia="MS Gothic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</w:p>
          <w:p w14:paraId="6E3A408E" w14:textId="2354B851" w:rsidR="00AF23F6" w:rsidRPr="002013F1" w:rsidRDefault="00D2498B" w:rsidP="00D45244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Studentska izlaganja</w:t>
            </w:r>
          </w:p>
        </w:tc>
      </w:tr>
      <w:tr w:rsidR="00FC2198" w:rsidRPr="002013F1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41EF5574" w14:textId="77777777" w:rsidR="006A29BB" w:rsidRDefault="0045130B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   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Божич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Pафаэла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Двенадцать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лекций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о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переводе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художественной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литературы</w:t>
            </w:r>
            <w:proofErr w:type="spellEnd"/>
            <w:r w:rsidR="006A29BB" w:rsidRPr="006A29BB">
              <w:rPr>
                <w:rFonts w:ascii="Merriweather" w:eastAsia="MS Gothic" w:hAnsi="Merriweather" w:cs="Times New Roman"/>
                <w:sz w:val="16"/>
                <w:szCs w:val="16"/>
              </w:rPr>
              <w:t>, Sveučilište u Zadru, Zadar, 2025.</w:t>
            </w:r>
          </w:p>
          <w:p w14:paraId="4ED8B8DB" w14:textId="4FAD2EF5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Vojvodić, Jasmina. Recepcija suvremene ruske književnosti u Hrvatskoj // Zadarska filološki dani, IV (2013), 317-328 (dostupno na: https://kroatistika.unizd.hr/zadarski-filoloski-dani/zfd-zbornici)</w:t>
            </w:r>
          </w:p>
          <w:p w14:paraId="6B387E13" w14:textId="01C90A27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Božić, Rafaela;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Karavlah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, Petar. Zlatan Jakšić – pionir hrvatske teorije prevođenja // Zadarski filološki dani 5, 5 (2015), 225-23 (dostupno na: https://kroatistika.unizd.hr/zadarski-filoloski-dani/zfd-zbornici)</w:t>
            </w:r>
          </w:p>
          <w:p w14:paraId="71499AE8" w14:textId="4B86E1DA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Božić, Rafaela </w:t>
            </w:r>
            <w:r w:rsidR="006A29BB">
              <w:rPr>
                <w:rFonts w:ascii="Merriweather" w:eastAsia="MS Gothic" w:hAnsi="Merriweather" w:cs="Times New Roman"/>
                <w:sz w:val="16"/>
                <w:szCs w:val="16"/>
              </w:rPr>
              <w:t>„</w:t>
            </w: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Majka Margarita</w:t>
            </w:r>
            <w:r w:rsidR="006A29BB">
              <w:rPr>
                <w:rFonts w:ascii="Merriweather" w:eastAsia="MS Gothic" w:hAnsi="Merriweather" w:cs="Times New Roman"/>
                <w:sz w:val="16"/>
                <w:szCs w:val="16"/>
              </w:rPr>
              <w:t>”</w:t>
            </w: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prijevodima na ruski jezik //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Croatica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et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Slavica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Iadertina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, 10 (2014), 1; 231-238</w:t>
            </w:r>
          </w:p>
          <w:p w14:paraId="2FC8A7CD" w14:textId="033861CB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Božić, Rafaela;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Černigoj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Kristina. Kako prevoditi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chick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-lit // Zadarski filološki dani 4, 4 (2013), 4; 407-420</w:t>
            </w:r>
          </w:p>
          <w:p w14:paraId="3FDA1E24" w14:textId="725A2508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Božić-Šejić, Rafaela;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Drožđek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, Ivana. Kontrastivna analiza prijevoda nekih gradacijskih elemenata u pet prijevoda „Bajke o ribaru i ribici</w:t>
            </w:r>
            <w:r w:rsidR="006A29BB">
              <w:rPr>
                <w:rFonts w:ascii="Merriweather" w:eastAsia="MS Gothic" w:hAnsi="Merriweather" w:cs="Times New Roman"/>
                <w:sz w:val="16"/>
                <w:szCs w:val="16"/>
              </w:rPr>
              <w:t>”</w:t>
            </w: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//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Fluminensia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: časopis za filološka istraživanja, 22 (2010), 1; 137-148</w:t>
            </w:r>
          </w:p>
          <w:p w14:paraId="2DC32D89" w14:textId="0022770C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Božić-Šejić, Rafaela. Neki problemi prijevoda čakavske poezije na ruski jezik (na primjeru poezije čakavskoga pjesnika Zlatana Jakšića) //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Fluminensia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: časopis za filološka istraživanja, 20 (2008), 2; 81-92</w:t>
            </w:r>
          </w:p>
          <w:p w14:paraId="33B6AE2C" w14:textId="5C2A86AB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Božić, Rafaela; Pintarić, Antonia. Konceptualna metafora i problemi prevođenja (na primjeru koncepta </w:t>
            </w:r>
            <w:r w:rsidRPr="0045130B">
              <w:rPr>
                <w:rFonts w:ascii="Merriweather" w:eastAsia="MS Gothic" w:hAnsi="Merriweather" w:cs="Times New Roman"/>
                <w:sz w:val="14"/>
                <w:szCs w:val="14"/>
              </w:rPr>
              <w:t xml:space="preserve">LJUBAV </w:t>
            </w: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romanu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Čevengur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A. Platonova) // [sic] - časopis za književnost, kulturu i književno prevođenje, (2021).</w:t>
            </w:r>
          </w:p>
          <w:p w14:paraId="024499D1" w14:textId="3E3FEF79" w:rsidR="00AA3DAC" w:rsidRPr="0045130B" w:rsidRDefault="00AA3DAC" w:rsidP="00046E31">
            <w:pPr>
              <w:pStyle w:val="Odlomakpopisa"/>
              <w:numPr>
                <w:ilvl w:val="0"/>
                <w:numId w:val="4"/>
              </w:numPr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Pintarić, Antonia; Božić, Rafaela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Стихотворение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6A29BB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«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Поэту</w:t>
            </w:r>
            <w:proofErr w:type="spellEnd"/>
            <w:r w:rsidR="006A29BB">
              <w:rPr>
                <w:rFonts w:ascii="Merriweather" w:eastAsia="MS Gothic" w:hAnsi="Merriweather" w:cs="Times New Roman"/>
                <w:sz w:val="16"/>
                <w:szCs w:val="16"/>
                <w:lang w:val="ru-RU"/>
              </w:rPr>
              <w:t>»</w:t>
            </w:r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в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двух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переводах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на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хорватский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язык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//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Болдинсклие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чтения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2016</w:t>
            </w:r>
          </w:p>
          <w:p w14:paraId="0B89B5BE" w14:textId="1CCD9383" w:rsidR="00FC2198" w:rsidRPr="0045130B" w:rsidRDefault="00AA3DAC" w:rsidP="00046E31">
            <w:pPr>
              <w:pStyle w:val="Odlomakpopisa"/>
              <w:tabs>
                <w:tab w:val="left" w:pos="490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Arzamas</w:t>
            </w:r>
            <w:proofErr w:type="spellEnd"/>
            <w:r w:rsidRPr="0045130B">
              <w:rPr>
                <w:rFonts w:ascii="Merriweather" w:eastAsia="MS Gothic" w:hAnsi="Merriweather" w:cs="Times New Roman"/>
                <w:sz w:val="16"/>
                <w:szCs w:val="16"/>
              </w:rPr>
              <w:t>, 2016. str. 193-198.</w:t>
            </w:r>
          </w:p>
        </w:tc>
      </w:tr>
      <w:tr w:rsidR="00FC2198" w:rsidRPr="002013F1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04F58EF1" w:rsidR="00FC2198" w:rsidRPr="002013F1" w:rsidRDefault="006A29BB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A29BB">
              <w:rPr>
                <w:rFonts w:ascii="Merriweather" w:eastAsia="MS Gothic" w:hAnsi="Merriweather" w:cs="Times New Roman"/>
                <w:sz w:val="16"/>
                <w:szCs w:val="16"/>
              </w:rPr>
              <w:t>Materijali za kolegij (Merlin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</w:p>
        </w:tc>
      </w:tr>
      <w:tr w:rsidR="00FC2198" w:rsidRPr="002013F1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0C50C41F" w:rsidR="00FC2198" w:rsidRPr="002013F1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Merlin</w:t>
            </w:r>
          </w:p>
        </w:tc>
      </w:tr>
      <w:tr w:rsidR="00B71A57" w:rsidRPr="002013F1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2013F1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2013F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2013F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2013F1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2013F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2013F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2013F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0B8741A1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3DAC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2013F1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2013F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2013F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1C43BF5E" w:rsidR="00B71A57" w:rsidRPr="002013F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2F15" w:rsidRPr="002013F1"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2013F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2013F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2013F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71A57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2013F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2013F1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78B7116" w:rsidR="00200083" w:rsidRPr="00B67E84" w:rsidRDefault="0010450B" w:rsidP="00B5354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ripremljenost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 rad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s</w:t>
            </w:r>
            <w:r w:rsidRPr="0010450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udjelovanje u nastavi 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(10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%), samostalno izlaganje 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20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%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)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="00B535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B5354C" w:rsidRPr="00B5354C">
              <w:rPr>
                <w:rFonts w:ascii="Merriweather" w:eastAsia="MS Gothic" w:hAnsi="Merriweather" w:cs="Times New Roman"/>
                <w:sz w:val="16"/>
                <w:szCs w:val="16"/>
              </w:rPr>
              <w:t>prevodilački portfolio (30 %)</w:t>
            </w:r>
            <w:r w:rsidR="00B5354C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seminar</w:t>
            </w:r>
            <w:r w:rsidR="0062141F">
              <w:rPr>
                <w:rFonts w:ascii="Merriweather" w:eastAsia="MS Gothic" w:hAnsi="Merriweather" w:cs="Times New Roman"/>
                <w:sz w:val="16"/>
                <w:szCs w:val="16"/>
              </w:rPr>
              <w:t>ski rad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(20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%), pismeni ispit (20</w:t>
            </w:r>
            <w:r w:rsidR="00D45244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AA3DAC"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%). </w:t>
            </w:r>
          </w:p>
        </w:tc>
      </w:tr>
      <w:tr w:rsidR="00FC2198" w:rsidRPr="002013F1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A5B0441" w:rsidR="00FC2198" w:rsidRPr="002013F1" w:rsidRDefault="0062141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 – 54 %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2013F1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74119D0" w:rsidR="00FC2198" w:rsidRPr="002013F1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55 </w:t>
            </w:r>
            <w:r w:rsidR="00502F15" w:rsidRPr="002013F1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62,9 %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2013F1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69FF8D8" w:rsidR="00FC2198" w:rsidRPr="002013F1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63 </w:t>
            </w:r>
            <w:r w:rsidR="00502F15" w:rsidRPr="002013F1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75,9</w:t>
            </w:r>
            <w:r w:rsidR="00502F15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%   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2013F1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09509F65" w:rsidR="00FC2198" w:rsidRPr="002013F1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76 </w:t>
            </w:r>
            <w:r w:rsidR="00502F15" w:rsidRPr="002013F1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88,9 %  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2013F1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9A61375" w:rsidR="00FC2198" w:rsidRPr="002013F1" w:rsidRDefault="00AA3DA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89 </w:t>
            </w:r>
            <w:r w:rsidR="00502F15" w:rsidRPr="002013F1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100</w:t>
            </w:r>
            <w:r w:rsidR="00502F15"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%    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2013F1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2013F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2013F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2013F1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2013F1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2013F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2013F1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2013F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2013F1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2013F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2013F1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2013F1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9263942" w:rsidR="00FC2198" w:rsidRPr="002013F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013F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2013F1" w:rsidRDefault="00794496">
      <w:pPr>
        <w:rPr>
          <w:rFonts w:ascii="Merriweather" w:hAnsi="Merriweather" w:cs="Times New Roman"/>
          <w:sz w:val="16"/>
          <w:szCs w:val="16"/>
        </w:rPr>
      </w:pPr>
    </w:p>
    <w:sectPr w:rsidR="00794496" w:rsidRPr="002013F1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57AF" w14:textId="77777777" w:rsidR="00CA1150" w:rsidRDefault="00CA1150" w:rsidP="009947BA">
      <w:pPr>
        <w:spacing w:before="0" w:after="0"/>
      </w:pPr>
      <w:r>
        <w:separator/>
      </w:r>
    </w:p>
  </w:endnote>
  <w:endnote w:type="continuationSeparator" w:id="0">
    <w:p w14:paraId="4453828D" w14:textId="77777777" w:rsidR="00CA1150" w:rsidRDefault="00CA1150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08ED" w14:textId="77777777" w:rsidR="00CA1150" w:rsidRDefault="00CA1150" w:rsidP="009947BA">
      <w:pPr>
        <w:spacing w:before="0" w:after="0"/>
      </w:pPr>
      <w:r>
        <w:separator/>
      </w:r>
    </w:p>
  </w:footnote>
  <w:footnote w:type="continuationSeparator" w:id="0">
    <w:p w14:paraId="23D1F0AE" w14:textId="77777777" w:rsidR="00CA1150" w:rsidRDefault="00CA1150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721B"/>
    <w:multiLevelType w:val="hybridMultilevel"/>
    <w:tmpl w:val="A99A1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1663"/>
    <w:multiLevelType w:val="hybridMultilevel"/>
    <w:tmpl w:val="6D500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5651E"/>
    <w:multiLevelType w:val="hybridMultilevel"/>
    <w:tmpl w:val="030419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576A6"/>
    <w:multiLevelType w:val="hybridMultilevel"/>
    <w:tmpl w:val="4126A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384552">
    <w:abstractNumId w:val="1"/>
  </w:num>
  <w:num w:numId="2" w16cid:durableId="282614800">
    <w:abstractNumId w:val="0"/>
  </w:num>
  <w:num w:numId="3" w16cid:durableId="120075512">
    <w:abstractNumId w:val="3"/>
  </w:num>
  <w:num w:numId="4" w16cid:durableId="1705061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3BE0"/>
    <w:rsid w:val="00014B3D"/>
    <w:rsid w:val="000327A1"/>
    <w:rsid w:val="00032E05"/>
    <w:rsid w:val="000334A8"/>
    <w:rsid w:val="00036200"/>
    <w:rsid w:val="00036522"/>
    <w:rsid w:val="00046E31"/>
    <w:rsid w:val="00090607"/>
    <w:rsid w:val="00091000"/>
    <w:rsid w:val="00097F0D"/>
    <w:rsid w:val="000A457C"/>
    <w:rsid w:val="000C0578"/>
    <w:rsid w:val="000E08B2"/>
    <w:rsid w:val="000F0B27"/>
    <w:rsid w:val="0010332B"/>
    <w:rsid w:val="0010450B"/>
    <w:rsid w:val="0013385F"/>
    <w:rsid w:val="001435B8"/>
    <w:rsid w:val="001443A2"/>
    <w:rsid w:val="00150B32"/>
    <w:rsid w:val="0017531F"/>
    <w:rsid w:val="00197510"/>
    <w:rsid w:val="001A5260"/>
    <w:rsid w:val="001A7E73"/>
    <w:rsid w:val="001C7C51"/>
    <w:rsid w:val="001D2107"/>
    <w:rsid w:val="00200083"/>
    <w:rsid w:val="002013F1"/>
    <w:rsid w:val="002124C1"/>
    <w:rsid w:val="00226462"/>
    <w:rsid w:val="0022722C"/>
    <w:rsid w:val="00240400"/>
    <w:rsid w:val="0028545A"/>
    <w:rsid w:val="002E1CE6"/>
    <w:rsid w:val="002F2D22"/>
    <w:rsid w:val="00310F9A"/>
    <w:rsid w:val="00326091"/>
    <w:rsid w:val="00357643"/>
    <w:rsid w:val="00371634"/>
    <w:rsid w:val="0037504C"/>
    <w:rsid w:val="00386E9C"/>
    <w:rsid w:val="00393964"/>
    <w:rsid w:val="0039578B"/>
    <w:rsid w:val="003B13D2"/>
    <w:rsid w:val="003B3831"/>
    <w:rsid w:val="003C3243"/>
    <w:rsid w:val="003D7529"/>
    <w:rsid w:val="003E6A73"/>
    <w:rsid w:val="003F11B6"/>
    <w:rsid w:val="003F17B8"/>
    <w:rsid w:val="004138FF"/>
    <w:rsid w:val="0045130B"/>
    <w:rsid w:val="00453362"/>
    <w:rsid w:val="0045530F"/>
    <w:rsid w:val="004556C7"/>
    <w:rsid w:val="00461219"/>
    <w:rsid w:val="004667F4"/>
    <w:rsid w:val="00470F6D"/>
    <w:rsid w:val="00476FDC"/>
    <w:rsid w:val="004812D1"/>
    <w:rsid w:val="00483BC3"/>
    <w:rsid w:val="00485FBA"/>
    <w:rsid w:val="00487229"/>
    <w:rsid w:val="0049190D"/>
    <w:rsid w:val="00497894"/>
    <w:rsid w:val="004B1B3D"/>
    <w:rsid w:val="004B553E"/>
    <w:rsid w:val="004D186E"/>
    <w:rsid w:val="004E024F"/>
    <w:rsid w:val="00502F15"/>
    <w:rsid w:val="00507C65"/>
    <w:rsid w:val="00527C5F"/>
    <w:rsid w:val="005353ED"/>
    <w:rsid w:val="005514C3"/>
    <w:rsid w:val="005A077B"/>
    <w:rsid w:val="005D6C67"/>
    <w:rsid w:val="005E1668"/>
    <w:rsid w:val="005E5F80"/>
    <w:rsid w:val="005F6E0B"/>
    <w:rsid w:val="00601AEA"/>
    <w:rsid w:val="0062141F"/>
    <w:rsid w:val="0062328F"/>
    <w:rsid w:val="00624F40"/>
    <w:rsid w:val="00636997"/>
    <w:rsid w:val="00647D9F"/>
    <w:rsid w:val="006501B3"/>
    <w:rsid w:val="00684545"/>
    <w:rsid w:val="00684BBC"/>
    <w:rsid w:val="006A29BB"/>
    <w:rsid w:val="006B093A"/>
    <w:rsid w:val="006B4920"/>
    <w:rsid w:val="006C236B"/>
    <w:rsid w:val="006D53CB"/>
    <w:rsid w:val="006E2421"/>
    <w:rsid w:val="00700D7A"/>
    <w:rsid w:val="00703474"/>
    <w:rsid w:val="00710788"/>
    <w:rsid w:val="007132EF"/>
    <w:rsid w:val="007133F7"/>
    <w:rsid w:val="0071793B"/>
    <w:rsid w:val="00721260"/>
    <w:rsid w:val="007361E7"/>
    <w:rsid w:val="007368EB"/>
    <w:rsid w:val="00743062"/>
    <w:rsid w:val="00754DDB"/>
    <w:rsid w:val="0078125F"/>
    <w:rsid w:val="00792DB8"/>
    <w:rsid w:val="00794496"/>
    <w:rsid w:val="007967CC"/>
    <w:rsid w:val="0079745E"/>
    <w:rsid w:val="00797B40"/>
    <w:rsid w:val="007B65DB"/>
    <w:rsid w:val="007C43A4"/>
    <w:rsid w:val="007D4D2D"/>
    <w:rsid w:val="007D5B88"/>
    <w:rsid w:val="0084340B"/>
    <w:rsid w:val="008619BC"/>
    <w:rsid w:val="00865339"/>
    <w:rsid w:val="00865776"/>
    <w:rsid w:val="00874D5D"/>
    <w:rsid w:val="00891C60"/>
    <w:rsid w:val="008942F0"/>
    <w:rsid w:val="008B1823"/>
    <w:rsid w:val="008B3B10"/>
    <w:rsid w:val="008B78B9"/>
    <w:rsid w:val="008D45DB"/>
    <w:rsid w:val="008F5B0E"/>
    <w:rsid w:val="0090214F"/>
    <w:rsid w:val="009163E6"/>
    <w:rsid w:val="00944C73"/>
    <w:rsid w:val="00950FD0"/>
    <w:rsid w:val="00962F42"/>
    <w:rsid w:val="009727AE"/>
    <w:rsid w:val="009760E8"/>
    <w:rsid w:val="00993374"/>
    <w:rsid w:val="009947BA"/>
    <w:rsid w:val="00995D86"/>
    <w:rsid w:val="00997F41"/>
    <w:rsid w:val="009A3A9D"/>
    <w:rsid w:val="009B758B"/>
    <w:rsid w:val="009C56B1"/>
    <w:rsid w:val="009D5226"/>
    <w:rsid w:val="009E2FD4"/>
    <w:rsid w:val="009F7D3D"/>
    <w:rsid w:val="00A00015"/>
    <w:rsid w:val="00A03861"/>
    <w:rsid w:val="00A05193"/>
    <w:rsid w:val="00A06750"/>
    <w:rsid w:val="00A31D20"/>
    <w:rsid w:val="00A70D6A"/>
    <w:rsid w:val="00A715B0"/>
    <w:rsid w:val="00A9132B"/>
    <w:rsid w:val="00AA1A5A"/>
    <w:rsid w:val="00AA3DAC"/>
    <w:rsid w:val="00AB232D"/>
    <w:rsid w:val="00AD23FB"/>
    <w:rsid w:val="00AF23F6"/>
    <w:rsid w:val="00B014DA"/>
    <w:rsid w:val="00B5354C"/>
    <w:rsid w:val="00B56F20"/>
    <w:rsid w:val="00B67E84"/>
    <w:rsid w:val="00B71A57"/>
    <w:rsid w:val="00B7307A"/>
    <w:rsid w:val="00BC100E"/>
    <w:rsid w:val="00BD18B3"/>
    <w:rsid w:val="00C02454"/>
    <w:rsid w:val="00C03253"/>
    <w:rsid w:val="00C1169A"/>
    <w:rsid w:val="00C16AFD"/>
    <w:rsid w:val="00C3477B"/>
    <w:rsid w:val="00C43C75"/>
    <w:rsid w:val="00C4549B"/>
    <w:rsid w:val="00C85956"/>
    <w:rsid w:val="00C936FC"/>
    <w:rsid w:val="00C9733D"/>
    <w:rsid w:val="00CA1150"/>
    <w:rsid w:val="00CA3783"/>
    <w:rsid w:val="00CA7150"/>
    <w:rsid w:val="00CB23F4"/>
    <w:rsid w:val="00CB6A8D"/>
    <w:rsid w:val="00D136E4"/>
    <w:rsid w:val="00D2498B"/>
    <w:rsid w:val="00D45244"/>
    <w:rsid w:val="00D5334D"/>
    <w:rsid w:val="00D5523D"/>
    <w:rsid w:val="00D6411F"/>
    <w:rsid w:val="00D944DF"/>
    <w:rsid w:val="00DB7CE5"/>
    <w:rsid w:val="00DD110C"/>
    <w:rsid w:val="00DE6D53"/>
    <w:rsid w:val="00E06E39"/>
    <w:rsid w:val="00E07D73"/>
    <w:rsid w:val="00E17D18"/>
    <w:rsid w:val="00E30E67"/>
    <w:rsid w:val="00E452DC"/>
    <w:rsid w:val="00E560EC"/>
    <w:rsid w:val="00E67BDD"/>
    <w:rsid w:val="00E92EBB"/>
    <w:rsid w:val="00EA0D66"/>
    <w:rsid w:val="00EA17EE"/>
    <w:rsid w:val="00EB5A72"/>
    <w:rsid w:val="00ED791F"/>
    <w:rsid w:val="00F02A8F"/>
    <w:rsid w:val="00F1051E"/>
    <w:rsid w:val="00F22855"/>
    <w:rsid w:val="00F513E0"/>
    <w:rsid w:val="00F566DA"/>
    <w:rsid w:val="00F82834"/>
    <w:rsid w:val="00F84F5E"/>
    <w:rsid w:val="00FC2198"/>
    <w:rsid w:val="00FC283E"/>
    <w:rsid w:val="00FE383F"/>
    <w:rsid w:val="00FE6303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CB6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bozic@inbox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bozic@unizd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bozic@inbox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pintari1@unizd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1798</Words>
  <Characters>10754</Characters>
  <Application>Microsoft Office Word</Application>
  <DocSecurity>0</DocSecurity>
  <Lines>467</Lines>
  <Paragraphs>321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Rafaela Božić</cp:lastModifiedBy>
  <cp:revision>2</cp:revision>
  <cp:lastPrinted>2021-02-12T11:27:00Z</cp:lastPrinted>
  <dcterms:created xsi:type="dcterms:W3CDTF">2025-09-19T09:45:00Z</dcterms:created>
  <dcterms:modified xsi:type="dcterms:W3CDTF">2025-09-19T09:45:00Z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906d8fd7-14ec-4a68-b22e-ab76b01a585e</vt:lpwstr>
  </property>
</Properties>
</file>