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F5345F" w:rsidRDefault="00794496" w:rsidP="003F17B8">
      <w:pPr>
        <w:rPr>
          <w:rFonts w:ascii="Times New Roman" w:hAnsi="Times New Roman" w:cs="Times New Roman"/>
          <w:b/>
          <w:sz w:val="24"/>
        </w:rPr>
      </w:pPr>
      <w:r w:rsidRPr="00F5345F">
        <w:rPr>
          <w:rFonts w:ascii="Times New Roman" w:hAnsi="Times New Roman" w:cs="Times New Roman"/>
          <w:b/>
          <w:sz w:val="24"/>
        </w:rPr>
        <w:t>Obrazac</w:t>
      </w:r>
      <w:r w:rsidR="008942F0" w:rsidRPr="00F5345F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F5345F">
        <w:rPr>
          <w:rFonts w:ascii="Times New Roman" w:hAnsi="Times New Roman" w:cs="Times New Roman"/>
          <w:b/>
          <w:i/>
          <w:sz w:val="24"/>
        </w:rPr>
        <w:t>syllabus</w:t>
      </w:r>
      <w:r w:rsidR="008942F0" w:rsidRPr="00F5345F">
        <w:rPr>
          <w:rFonts w:ascii="Times New Roman" w:hAnsi="Times New Roman" w:cs="Times New Roman"/>
          <w:b/>
          <w:sz w:val="24"/>
        </w:rPr>
        <w:t>)</w:t>
      </w:r>
      <w:r w:rsidR="00B4202A" w:rsidRPr="00F5345F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210"/>
        <w:gridCol w:w="228"/>
        <w:gridCol w:w="205"/>
        <w:gridCol w:w="267"/>
        <w:gridCol w:w="374"/>
        <w:gridCol w:w="308"/>
        <w:gridCol w:w="57"/>
        <w:gridCol w:w="491"/>
        <w:gridCol w:w="428"/>
        <w:gridCol w:w="193"/>
        <w:gridCol w:w="64"/>
        <w:gridCol w:w="21"/>
        <w:gridCol w:w="558"/>
        <w:gridCol w:w="200"/>
        <w:gridCol w:w="33"/>
        <w:gridCol w:w="215"/>
        <w:gridCol w:w="101"/>
        <w:gridCol w:w="1184"/>
      </w:tblGrid>
      <w:tr w:rsidR="004B553E" w:rsidRPr="00F5345F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F5345F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5345F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5345F" w:rsidRDefault="00AD5D3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F5345F">
              <w:rPr>
                <w:rFonts w:ascii="Times New Roman" w:hAnsi="Times New Roman" w:cs="Times New Roman"/>
                <w:b/>
              </w:rPr>
              <w:t>Glagoljaška baština u znanstvenoj literaturi i nastavi povijesti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F5345F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F5345F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F5345F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F5345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5345F" w:rsidRDefault="00AD5D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F5345F">
              <w:rPr>
                <w:rFonts w:ascii="Times New Roman" w:hAnsi="Times New Roman" w:cs="Times New Roman"/>
                <w:sz w:val="20"/>
              </w:rPr>
              <w:t>Povijest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F5345F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F5345F" w:rsidRDefault="00AD5D3F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F5345F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B553E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F5345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F5345F" w:rsidRDefault="00AD5D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F5345F"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F5345F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F5345F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F5345F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3F" w:rsidRPr="00F5345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F5345F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:rsidR="004B553E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5345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F5345F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6"/>
            <w:shd w:val="clear" w:color="auto" w:fill="FFFFFF" w:themeFill="background1"/>
          </w:tcPr>
          <w:p w:rsidR="004B553E" w:rsidRPr="00F5345F" w:rsidRDefault="0044606C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5345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F5345F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F5345F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345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F5345F" w:rsidRDefault="0044606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3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F5345F" w:rsidRDefault="0044606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3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F5345F" w:rsidRDefault="0044606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8"/>
            <w:vAlign w:val="center"/>
          </w:tcPr>
          <w:p w:rsidR="009A284F" w:rsidRPr="00F5345F" w:rsidRDefault="0044606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center"/>
          </w:tcPr>
          <w:p w:rsidR="009A284F" w:rsidRPr="00F5345F" w:rsidRDefault="0044606C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F5345F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345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F5345F" w:rsidRDefault="004460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3F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F5345F" w:rsidRDefault="004460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F5345F" w:rsidRDefault="004460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F5345F" w:rsidRDefault="004460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F5345F" w:rsidRDefault="004460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F5345F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F5345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F5345F" w:rsidRDefault="0044606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3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F5345F" w:rsidRDefault="0044606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F5345F" w:rsidRDefault="0044606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A8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F5345F" w:rsidRDefault="0044606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F5345F" w:rsidRDefault="0044606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F5345F" w:rsidRDefault="0044606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345F" w:rsidRDefault="0044606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F5345F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F5345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F5345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F5345F" w:rsidRDefault="0044606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F5345F" w:rsidRDefault="0044606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F5345F" w:rsidRDefault="0044606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F5345F" w:rsidRDefault="0044606C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345F" w:rsidRDefault="0044606C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F5345F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345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3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F5345F" w:rsidRDefault="0044606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F5345F" w:rsidRDefault="0044606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F5345F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345F" w:rsidRDefault="0044606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3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F5345F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345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F5345F" w:rsidRDefault="00AD5D3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45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2" w:type="dxa"/>
          </w:tcPr>
          <w:p w:rsidR="009A284F" w:rsidRPr="00F5345F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F5345F" w:rsidRDefault="00AD5D3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45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3"/>
          </w:tcPr>
          <w:p w:rsidR="009A284F" w:rsidRPr="00F5345F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F5345F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F5345F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F5345F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345F" w:rsidRDefault="0044606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3F" w:rsidRPr="00F5345F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F5345F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F5345F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345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F5345F" w:rsidRDefault="00AD5D3F" w:rsidP="009A284F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5345F">
              <w:rPr>
                <w:rFonts w:ascii="Times New Roman" w:hAnsi="Times New Roman" w:cs="Times New Roman"/>
                <w:sz w:val="18"/>
                <w:szCs w:val="20"/>
              </w:rPr>
              <w:t>Mala dvorana Odjela za povijest (utorkom 18-20h)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F5345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345F" w:rsidRDefault="00AD5D3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F5345F"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F5345F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345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F5345F" w:rsidRDefault="00AD5D3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8. 10. 2019.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F5345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345F" w:rsidRDefault="00AD5D3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21. 1. 2020.</w:t>
            </w:r>
          </w:p>
        </w:tc>
      </w:tr>
      <w:tr w:rsidR="009A284F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345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Nema posebnih uvjeta</w:t>
            </w:r>
          </w:p>
        </w:tc>
      </w:tr>
      <w:tr w:rsidR="009A284F" w:rsidRPr="00F5345F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F5345F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345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izv. prof. dr. sc. Kristijan Juran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B309E0" w:rsidRPr="00F5345F" w:rsidRDefault="00B309E0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kjuran@unizd.hr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B309E0" w:rsidRPr="00F5345F" w:rsidRDefault="00B309E0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četvrtkom 14-15h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izv. prof. dr. sc. Kristijan Juran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kjuran@unizd.hr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B309E0" w:rsidRPr="00F5345F" w:rsidRDefault="00B309E0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četvrtkom 14-15h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09E0" w:rsidRPr="00F5345F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9E0" w:rsidRPr="00F5345F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B309E0" w:rsidRPr="00F5345F" w:rsidRDefault="0044606C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B309E0" w:rsidRPr="00F5345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B309E0" w:rsidRPr="00F5345F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:rsidR="00B309E0" w:rsidRPr="00F5345F" w:rsidRDefault="00B309E0" w:rsidP="00B309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5345F">
              <w:rPr>
                <w:sz w:val="20"/>
                <w:szCs w:val="20"/>
              </w:rPr>
              <w:t>Studenti će biti osposobljeni:</w:t>
            </w:r>
          </w:p>
          <w:p w:rsidR="00B309E0" w:rsidRPr="00F5345F" w:rsidRDefault="00B309E0" w:rsidP="00B3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- pojasniti ulogu i važnost glagoljice i hrvatske ćirilice u hrvatskoj povijesti i kulturi</w:t>
            </w:r>
          </w:p>
          <w:p w:rsidR="00B309E0" w:rsidRPr="00F5345F" w:rsidRDefault="00B309E0" w:rsidP="00B3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- navesti i međusobno usporediti najvažniju znanstvenu literaturu o hrvatskoj glagoljaškoj baštini</w:t>
            </w:r>
          </w:p>
          <w:p w:rsidR="00B309E0" w:rsidRPr="00F5345F" w:rsidRDefault="00B309E0" w:rsidP="00B3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- prepoznati arhivska vrela pisana glagoljicom i hrvatskom ćirilicom</w:t>
            </w:r>
          </w:p>
          <w:p w:rsidR="00B309E0" w:rsidRPr="00F5345F" w:rsidRDefault="00B309E0" w:rsidP="00B3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- opisati vrste glagoljičnih i ćiriličnih povijesnih vrela za proučavanje hrvatske ranonovovjekovne povijesti</w:t>
            </w:r>
          </w:p>
          <w:p w:rsidR="00B309E0" w:rsidRPr="00F5345F" w:rsidRDefault="00B309E0" w:rsidP="00B309E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- pripremiti seminarski rad u obliku nastave s definiranim ciljevima, zaključkom i ključnim pojmovima</w:t>
            </w:r>
          </w:p>
        </w:tc>
      </w:tr>
      <w:tr w:rsidR="00B309E0" w:rsidRPr="00F5345F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B7300F" w:rsidRPr="00F5345F" w:rsidRDefault="00B7300F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Studenti će biti osposobljeni: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 protumačiti, usporediti, analizirati, povezati i kritički vrednovati povijesne događaje, ključne osobe, procese i ključne osobe,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 samostalno uspostavljati uzročno-posljedične veze između povijesnih događaja i povijesnih procesa,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lastRenderedPageBreak/>
              <w:t xml:space="preserve">– </w:t>
            </w:r>
            <w:r w:rsidRPr="00F5345F">
              <w:rPr>
                <w:noProof/>
                <w:color w:val="auto"/>
                <w:sz w:val="20"/>
                <w:szCs w:val="20"/>
              </w:rPr>
              <w:t xml:space="preserve">interpretirati, usporediti, </w:t>
            </w: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 xml:space="preserve">vrednovati  i primjenjivati različite </w:t>
            </w:r>
            <w:r w:rsidRPr="00F5345F">
              <w:rPr>
                <w:noProof/>
                <w:color w:val="auto"/>
                <w:sz w:val="20"/>
                <w:szCs w:val="20"/>
              </w:rPr>
              <w:t>historiografske metodologije,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 primijeniti specifična znanja i vještine potrebne za proučavanje dokumenata iz određenog razdoblja (npr. paleografija, epigrafija, uporaba starih jezika i pisama itd.),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</w:t>
            </w:r>
            <w:r w:rsidRPr="00F5345F">
              <w:rPr>
                <w:noProof/>
                <w:color w:val="auto"/>
                <w:sz w:val="20"/>
                <w:szCs w:val="20"/>
              </w:rPr>
              <w:t xml:space="preserve"> </w:t>
            </w: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kritički interpretirati i valorizirati podatke iz izvora i literature s obzirom na njihovu vjerodostojnost i perspektivu,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 analizirati i prosuditi vrijednost suprotstavljenih narativa i dokaza,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 formulirati i braniti određenu tezu,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 xml:space="preserve">– </w:t>
            </w:r>
            <w:r w:rsidRPr="00F5345F">
              <w:rPr>
                <w:noProof/>
                <w:color w:val="auto"/>
                <w:sz w:val="20"/>
                <w:szCs w:val="20"/>
              </w:rPr>
              <w:t>samostalno istraživati i analizirati razne vrste povijesne građe,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 xml:space="preserve">– </w:t>
            </w:r>
            <w:r w:rsidRPr="00F5345F">
              <w:rPr>
                <w:noProof/>
                <w:color w:val="auto"/>
                <w:sz w:val="20"/>
                <w:szCs w:val="20"/>
              </w:rPr>
              <w:t>pisati stručne i znanstvene radove na osnovi samostalnog proučavanja povijesnih izvora poštujući načela znanstvene metodologije i profesionalne etike,</w:t>
            </w:r>
          </w:p>
          <w:p w:rsidR="00B7300F" w:rsidRPr="00F5345F" w:rsidRDefault="00B7300F" w:rsidP="00B7300F">
            <w:pPr>
              <w:pStyle w:val="Default"/>
              <w:spacing w:after="38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 xml:space="preserve">– napisati jasan i koherentan rad u kojemu se dokazuje i/ili opovrgava određena teza o odabranom historiografskom pitanju ili problemu, </w:t>
            </w:r>
          </w:p>
          <w:p w:rsidR="00B7300F" w:rsidRPr="00F5345F" w:rsidRDefault="00B7300F" w:rsidP="00B7300F">
            <w:pPr>
              <w:pStyle w:val="Default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 objasniti didaktičke teorije i modele te ih primijeniti u nastavi povijesti,</w:t>
            </w:r>
          </w:p>
          <w:p w:rsidR="00B7300F" w:rsidRPr="00F5345F" w:rsidRDefault="00B7300F" w:rsidP="00B7300F">
            <w:pPr>
              <w:pStyle w:val="Default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 planirati, pripremati i izvoditi nastavu povijesti u osnovnoj i srednjoj školi,</w:t>
            </w:r>
          </w:p>
          <w:p w:rsidR="00B7300F" w:rsidRPr="00F5345F" w:rsidRDefault="00B7300F" w:rsidP="00B7300F">
            <w:pPr>
              <w:pStyle w:val="Default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</w:t>
            </w:r>
            <w:r w:rsidRPr="00F5345F">
              <w:rPr>
                <w:noProof/>
                <w:color w:val="auto"/>
                <w:sz w:val="20"/>
                <w:szCs w:val="20"/>
              </w:rPr>
              <w:t xml:space="preserve"> oblikovati i primjenjivati različite strategije za praćenje, provjeravanje i vrednovanje učeničkih postignuća u nastavi povijesti,</w:t>
            </w:r>
          </w:p>
          <w:p w:rsidR="00B7300F" w:rsidRPr="00F5345F" w:rsidRDefault="00B7300F" w:rsidP="00B7300F">
            <w:pPr>
              <w:pStyle w:val="Default"/>
              <w:rPr>
                <w:noProof/>
                <w:color w:val="auto"/>
                <w:sz w:val="20"/>
                <w:szCs w:val="20"/>
                <w:lang w:val="hr-HR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</w:t>
            </w:r>
            <w:r w:rsidRPr="00F5345F">
              <w:rPr>
                <w:noProof/>
                <w:color w:val="auto"/>
                <w:sz w:val="20"/>
                <w:szCs w:val="20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B7300F" w:rsidRPr="00F5345F" w:rsidRDefault="00B7300F" w:rsidP="00B7300F">
            <w:pPr>
              <w:pStyle w:val="Default"/>
              <w:rPr>
                <w:rFonts w:eastAsia="Times New Roman"/>
                <w:noProof/>
                <w:color w:val="auto"/>
                <w:sz w:val="20"/>
                <w:szCs w:val="20"/>
                <w:lang w:eastAsia="en-GB"/>
              </w:rPr>
            </w:pPr>
            <w:r w:rsidRPr="00F5345F">
              <w:rPr>
                <w:noProof/>
                <w:color w:val="auto"/>
                <w:sz w:val="20"/>
                <w:szCs w:val="20"/>
                <w:lang w:val="hr-HR"/>
              </w:rPr>
              <w:t>–</w:t>
            </w:r>
            <w:r w:rsidRPr="00F5345F">
              <w:rPr>
                <w:noProof/>
                <w:color w:val="auto"/>
                <w:sz w:val="20"/>
                <w:szCs w:val="20"/>
              </w:rPr>
              <w:t xml:space="preserve"> </w:t>
            </w:r>
            <w:r w:rsidRPr="00F5345F">
              <w:rPr>
                <w:rFonts w:eastAsia="Times New Roman"/>
                <w:noProof/>
                <w:color w:val="auto"/>
                <w:sz w:val="20"/>
                <w:szCs w:val="20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B309E0" w:rsidRPr="00F5345F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309E0" w:rsidRPr="00F5345F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B309E0" w:rsidRPr="00F5345F" w:rsidRDefault="00B309E0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B309E0" w:rsidRPr="00F5345F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DB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B309E0" w:rsidRPr="00F5345F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>1) Napisan seminarski rad, 2) održana prezentacija (usmeno izlaganje seminarskog rada) i 3) pohađanje nastave (toleriraju se dva neopravdana izostanka).</w:t>
            </w:r>
          </w:p>
        </w:tc>
      </w:tr>
      <w:tr w:rsidR="00B309E0" w:rsidRPr="00F5345F" w:rsidTr="00B309E0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560" w:type="dxa"/>
            <w:gridSpan w:val="13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zimski ispitni rok </w:t>
            </w:r>
          </w:p>
        </w:tc>
        <w:tc>
          <w:tcPr>
            <w:tcW w:w="2551" w:type="dxa"/>
            <w:gridSpan w:val="9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ljetni ispitni rok</w:t>
            </w:r>
          </w:p>
        </w:tc>
        <w:tc>
          <w:tcPr>
            <w:tcW w:w="2376" w:type="dxa"/>
            <w:gridSpan w:val="8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jesenski ispitni rok</w:t>
            </w:r>
          </w:p>
        </w:tc>
      </w:tr>
      <w:tr w:rsidR="00B309E0" w:rsidRPr="00F5345F" w:rsidTr="00B309E0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560" w:type="dxa"/>
            <w:gridSpan w:val="13"/>
            <w:vAlign w:val="center"/>
          </w:tcPr>
          <w:p w:rsidR="00B309E0" w:rsidRPr="00F5345F" w:rsidRDefault="00B309E0" w:rsidP="00B309E0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 w:rsidRPr="00F5345F">
              <w:rPr>
                <w:sz w:val="20"/>
                <w:szCs w:val="20"/>
                <w:bdr w:val="none" w:sz="0" w:space="0" w:color="auto" w:frame="1"/>
              </w:rPr>
              <w:t>I. rok – 31. siječnja 2020. (petak) u 14 sati (Mala dvorana)</w:t>
            </w:r>
          </w:p>
          <w:p w:rsidR="00B309E0" w:rsidRPr="00F5345F" w:rsidRDefault="00B309E0" w:rsidP="00B309E0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 w:rsidRPr="00F5345F">
              <w:rPr>
                <w:sz w:val="20"/>
                <w:szCs w:val="20"/>
                <w:bdr w:val="none" w:sz="0" w:space="0" w:color="auto" w:frame="1"/>
              </w:rPr>
              <w:t>II. rok – 14. veljače 2020. (petak) u 14 sati (Mala dvorana)</w:t>
            </w:r>
          </w:p>
        </w:tc>
        <w:tc>
          <w:tcPr>
            <w:tcW w:w="2551" w:type="dxa"/>
            <w:gridSpan w:val="9"/>
            <w:vAlign w:val="center"/>
          </w:tcPr>
          <w:p w:rsidR="00B309E0" w:rsidRPr="00F5345F" w:rsidRDefault="00B309E0" w:rsidP="00B309E0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 w:rsidRPr="00F5345F">
              <w:rPr>
                <w:sz w:val="20"/>
                <w:szCs w:val="20"/>
                <w:bdr w:val="none" w:sz="0" w:space="0" w:color="auto" w:frame="1"/>
              </w:rPr>
              <w:t>I. rok – 10. lipnja 2020. (srijeda) u 13 sati (Mala dvorana)</w:t>
            </w:r>
          </w:p>
          <w:p w:rsidR="00B309E0" w:rsidRPr="00F5345F" w:rsidRDefault="00B309E0" w:rsidP="00B309E0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 w:rsidRPr="00F5345F">
              <w:rPr>
                <w:sz w:val="20"/>
                <w:szCs w:val="20"/>
                <w:bdr w:val="none" w:sz="0" w:space="0" w:color="auto" w:frame="1"/>
              </w:rPr>
              <w:t>II. rok – 1. srpnja 2020. (srijeda) u 13 sati (Mala dvorana)</w:t>
            </w:r>
          </w:p>
        </w:tc>
        <w:tc>
          <w:tcPr>
            <w:tcW w:w="2376" w:type="dxa"/>
            <w:gridSpan w:val="8"/>
            <w:vAlign w:val="center"/>
          </w:tcPr>
          <w:p w:rsidR="00B309E0" w:rsidRPr="00F5345F" w:rsidRDefault="00A60FFE" w:rsidP="00B309E0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I. rok – 3</w:t>
            </w:r>
            <w:r w:rsidR="00B309E0" w:rsidRPr="00F5345F">
              <w:rPr>
                <w:sz w:val="20"/>
                <w:szCs w:val="20"/>
                <w:bdr w:val="none" w:sz="0" w:space="0" w:color="auto" w:frame="1"/>
              </w:rPr>
              <w:t>. rujna 202</w:t>
            </w:r>
            <w:r>
              <w:rPr>
                <w:sz w:val="20"/>
                <w:szCs w:val="20"/>
                <w:bdr w:val="none" w:sz="0" w:space="0" w:color="auto" w:frame="1"/>
              </w:rPr>
              <w:t>0. (četvr</w:t>
            </w:r>
            <w:r w:rsidR="00B309E0" w:rsidRPr="00F5345F">
              <w:rPr>
                <w:sz w:val="20"/>
                <w:szCs w:val="20"/>
                <w:bdr w:val="none" w:sz="0" w:space="0" w:color="auto" w:frame="1"/>
              </w:rPr>
              <w:t>tak) u 13 sati (Mala dvorana)</w:t>
            </w:r>
          </w:p>
          <w:p w:rsidR="00B309E0" w:rsidRPr="00F5345F" w:rsidRDefault="00B309E0" w:rsidP="00B309E0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 w:rsidRPr="00F5345F">
              <w:rPr>
                <w:sz w:val="20"/>
                <w:szCs w:val="20"/>
                <w:bdr w:val="none" w:sz="0" w:space="0" w:color="auto" w:frame="1"/>
              </w:rPr>
              <w:t xml:space="preserve">II. </w:t>
            </w:r>
            <w:r w:rsidR="001B3026">
              <w:rPr>
                <w:sz w:val="20"/>
                <w:szCs w:val="20"/>
                <w:bdr w:val="none" w:sz="0" w:space="0" w:color="auto" w:frame="1"/>
              </w:rPr>
              <w:t>rok – 17</w:t>
            </w:r>
            <w:bookmarkStart w:id="0" w:name="_GoBack"/>
            <w:bookmarkEnd w:id="0"/>
            <w:r w:rsidR="00A60FFE">
              <w:rPr>
                <w:sz w:val="20"/>
                <w:szCs w:val="20"/>
                <w:bdr w:val="none" w:sz="0" w:space="0" w:color="auto" w:frame="1"/>
              </w:rPr>
              <w:t>. rujna 2020. (četvrt</w:t>
            </w:r>
            <w:r w:rsidRPr="00F5345F">
              <w:rPr>
                <w:sz w:val="20"/>
                <w:szCs w:val="20"/>
                <w:bdr w:val="none" w:sz="0" w:space="0" w:color="auto" w:frame="1"/>
              </w:rPr>
              <w:t>ak) u 13 sati (Mala dvorana)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:rsidR="00B309E0" w:rsidRPr="00F5345F" w:rsidRDefault="00CF2B2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345F">
              <w:rPr>
                <w:rStyle w:val="googqs-tidbit"/>
                <w:rFonts w:ascii="Times New Roman" w:hAnsi="Times New Roman"/>
                <w:sz w:val="20"/>
                <w:szCs w:val="20"/>
              </w:rPr>
              <w:t>Četiri su temeljna cilja kolegija: 1) upoznati studente s glagoljaškom baštinom te njezinim statusom, kao i statusom glagoljice i hrvatske ćirilice, u recentnoj hrvatskoj znanstvenoj, kulturnoj i općoj javnosti; 2) upoznati studente s temeljnom literaturom, posebice historiografskom, koja se bavi hrvatskom glagoljaškom baštinom; 3) uputiti i poticati studente na samostalna istraživanja glagoljičnih i ćiriličnih povijesnih vrela iz 16. – 18. stoljeća; 4) osposobiti studente da seminarske radove – tematski usmjerene na pojedina poglavlja iz povijesti hrvatskoga glagoljaštva ili objavljene glagoljične/ćirilične spomenike – osmisle u obliku nastave s definiranim ciljevima, zaključkom i ključnim pojmovima.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Napomena: prvi je kvartal predviđen za predavanja, a drugi za seminare.</w:t>
            </w: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Hodogram je podložan promjenama, ovisno o mogućnostima odlaska na terensku nastavu i broju studenata odnosno seminarskih radova.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tjedan: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: O postanku glagoljice i ćirilice i povijesni pregled hrvatskoga glagoljaštva. (1. sat) 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S: 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Plan izvođenja i upute za izradu seminara.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tjedan: 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P: </w:t>
            </w:r>
            <w:r w:rsidRPr="00F5345F">
              <w:rPr>
                <w:rStyle w:val="googqs-tidbit"/>
                <w:rFonts w:ascii="Times New Roman" w:hAnsi="Times New Roman"/>
                <w:sz w:val="20"/>
                <w:szCs w:val="20"/>
              </w:rPr>
              <w:t>Glagoljaštvo u hrvatskoj historiografiji i drugoj znanstvenoj literaturi.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 (2.-3. sat)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3. tjedan: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P: </w:t>
            </w:r>
            <w:r w:rsidRPr="00F5345F">
              <w:rPr>
                <w:rStyle w:val="googqs-tidbit"/>
                <w:rFonts w:ascii="Times New Roman" w:hAnsi="Times New Roman"/>
                <w:sz w:val="20"/>
                <w:szCs w:val="20"/>
              </w:rPr>
              <w:t>Status glagoljice i hrvatske ćirilice u recentnoj hrvatskoj znanstvenoj, kulturnoj i općoj javnosti. Glagoljica i glagoljaštvo u suvremenoj hrvatskoj nastavi povijesti od osnovnoga do visokog školstva. (4.-5. sat)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4. tjedan: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: Povijesni kontekst najvažnijih srednjovjekovnih glagoljičnih i ćiriličnih spomenika (Bašćanska ploča, Povaljska listina, Vinodolski zakon, Istarski razvod, Poljički statut, Novakov misal...). Zlatno doba hrvatskoga glagoljaštva u 14. i 15. stoljeću. Glagoljaštvo u ranom novom vijeku, s posebnim osvrtom na povijesno-pravne i povijesno-demografske spomenike. (6.-7. sat)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5. tjedan: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: Opis, analiza odabranih primjera i mogućnosti istraživanja povijesnih izvora pisanih glagoljicom i ćirilicom u razdoblju 16. – 18. stoljeća: bilježnički ugovori i javno-pravne isprave (8.-9. sat)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6. tjedan: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: Opis, analiza odabranih primjera i mogućnosti istraživanja povijesnih izvora pisanih glagoljicom i ćirilicom u razdoblju 16. – 18. stoljeća: matične knjige i crkvena korespondencija (10.-11. sat)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7. tjedan: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: Opis, analiza odabranih primjera i mogućnosti istraživanja povijesnih izvora pisanih glagoljicom i ćirilicom u razdoblju 16. – 18. stoljeća: oporuke i matrikule bratovština (12.-13. sat)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tjedan: 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: Glagoljica i hrvatska ćirilica u Državnom arhivu u Zadru i/ili Stalnoj izložbi crkvene umjetnosti u Zadru – terenska nastava (14.-15. sat)</w:t>
            </w:r>
          </w:p>
          <w:p w:rsidR="00B309E0" w:rsidRPr="00F5345F" w:rsidRDefault="00CF2B2F" w:rsidP="00CF2B2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– 15. tjedan: 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izlaganja seminarskih radova, komentari i rasprava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B309E0" w:rsidRPr="00F5345F" w:rsidRDefault="00CF2B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Draganić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Biserka, Glagoljično pismo i hrvatska glagoljaška baština u odgojno-obrazovnome sustavu Republike Hrvatske,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Hrvatski jezik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vol. 4, br. 1, Zagreb, 2017, 14-20.</w:t>
            </w:r>
          </w:p>
          <w:p w:rsidR="00CF2B2F" w:rsidRPr="00F5345F" w:rsidRDefault="00CF2B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Hercigonja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Eduard,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Tisućljeće hrvatskoga glagoljaštva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Zagreb, 2009. (odabrana poglavlja)</w:t>
            </w:r>
          </w:p>
          <w:p w:rsidR="00CF2B2F" w:rsidRPr="00F5345F" w:rsidRDefault="00CF2B2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Nazor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Anica,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Knjiga o hrvatskoj glagoljici. „Ja slovo znajući govorim“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Erasmus naklada, Zagreb, 2008.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CF2B2F" w:rsidRPr="00F5345F" w:rsidRDefault="00CF2B2F" w:rsidP="00CF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Botica, 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Ivan</w:t>
            </w: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– Galović, 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Tomislav</w:t>
            </w: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, 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Hrvatskoglagoljski notarijat u europskom kontekstu, u: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Hrvatsko glagoljaštvo u europskom okružju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Staroslavenski institut, Zagreb, 2015, 115-143. </w:t>
            </w:r>
          </w:p>
          <w:p w:rsidR="00CF2B2F" w:rsidRPr="00F5345F" w:rsidRDefault="00CF2B2F" w:rsidP="00CF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Bratulić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Josip, Školovanje i obrazovanje glagoljaša,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Senjski zbornik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41, Senj, 2014, 461-464.</w:t>
            </w:r>
          </w:p>
          <w:p w:rsidR="00CF2B2F" w:rsidRPr="00F5345F" w:rsidRDefault="00CF2B2F" w:rsidP="00CF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Damjanović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Stjepan,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Slovo iskona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Zagreb, III. Izdanje, 2002. </w:t>
            </w:r>
          </w:p>
          <w:p w:rsidR="00CF2B2F" w:rsidRPr="00F5345F" w:rsidRDefault="00CF2B2F" w:rsidP="00CF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Fučić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Branko,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Glagoljski natpisi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Zagreb, 1982.</w:t>
            </w:r>
          </w:p>
          <w:p w:rsidR="00CF2B2F" w:rsidRPr="00F5345F" w:rsidRDefault="00CF2B2F" w:rsidP="00CF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Kapetanić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Niko – </w:t>
            </w: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Žagar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Mateo, Najjužniji hrvatski glagoljski natpis,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Anali Zavoda za povijesne znanosti HAZU u Dubrovniku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39, Dubrovnik, 2001, 9-48.</w:t>
            </w:r>
          </w:p>
          <w:p w:rsidR="00CF2B2F" w:rsidRPr="00F5345F" w:rsidRDefault="00CF2B2F" w:rsidP="00CF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Nazor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Anica,  Prožimanje glagoljice i ćirilice na hrvatskom prostoru,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Hrvatska i Europa II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Zagreb, 2000, 289-297.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Runje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Petar,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Glagoljica u zadarskoj nadbiskupiji u srednjem vijeku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Gradska knjižnica Zadar, 2005.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Šupuk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Ante,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Šibenski glagoljski spomenici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JAZU, Zagreb, 1957.</w:t>
            </w:r>
          </w:p>
          <w:p w:rsidR="00CF2B2F" w:rsidRPr="00F5345F" w:rsidRDefault="00CF2B2F" w:rsidP="00CF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Vlahov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Dražen,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Matica krštenih župe Lindar (1591.-1667.). Glagoljski zapisi od 1591. do 1648.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Državni arhiv u Pazinu, 2012.</w:t>
            </w:r>
          </w:p>
          <w:p w:rsidR="00B309E0" w:rsidRPr="00F5345F" w:rsidRDefault="00CF2B2F" w:rsidP="00CF2B2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345F">
              <w:rPr>
                <w:rFonts w:ascii="Times New Roman" w:hAnsi="Times New Roman" w:cs="Times New Roman"/>
                <w:smallCaps/>
                <w:sz w:val="20"/>
                <w:szCs w:val="20"/>
              </w:rPr>
              <w:t>Žagar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 xml:space="preserve">, Mateo, </w:t>
            </w:r>
            <w:r w:rsidRPr="00F5345F">
              <w:rPr>
                <w:rFonts w:ascii="Times New Roman" w:hAnsi="Times New Roman" w:cs="Times New Roman"/>
                <w:i/>
                <w:sz w:val="20"/>
                <w:szCs w:val="20"/>
              </w:rPr>
              <w:t>Kako je tkan tekst Bašćanske ploče</w:t>
            </w:r>
            <w:r w:rsidRPr="00F5345F">
              <w:rPr>
                <w:rFonts w:ascii="Times New Roman" w:hAnsi="Times New Roman" w:cs="Times New Roman"/>
                <w:sz w:val="20"/>
                <w:szCs w:val="20"/>
              </w:rPr>
              <w:t>, Zagreb, 1997.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309E0" w:rsidRPr="00F5345F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B309E0" w:rsidRPr="00F5345F" w:rsidRDefault="00B309E0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 xml:space="preserve">Provjera ishoda </w:t>
            </w:r>
            <w:r w:rsidRPr="00F5345F">
              <w:rPr>
                <w:rFonts w:ascii="Times New Roman" w:hAnsi="Times New Roman" w:cs="Times New Roman"/>
                <w:b/>
                <w:sz w:val="18"/>
              </w:rPr>
              <w:lastRenderedPageBreak/>
              <w:t>učenja (prema uputama AZVO)</w:t>
            </w:r>
          </w:p>
        </w:tc>
        <w:tc>
          <w:tcPr>
            <w:tcW w:w="5754" w:type="dxa"/>
            <w:gridSpan w:val="25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Samo završni ispit</w:t>
            </w:r>
          </w:p>
        </w:tc>
        <w:tc>
          <w:tcPr>
            <w:tcW w:w="1733" w:type="dxa"/>
            <w:gridSpan w:val="5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309E0" w:rsidRPr="00F5345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B309E0" w:rsidRPr="00F5345F" w:rsidRDefault="004460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B309E0" w:rsidRPr="00F5345F" w:rsidRDefault="00B309E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B309E0" w:rsidRPr="00F5345F" w:rsidRDefault="004460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B309E0" w:rsidRPr="00F5345F" w:rsidRDefault="00B309E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B309E0" w:rsidRPr="00F5345F" w:rsidRDefault="004460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B309E0" w:rsidRPr="00F5345F" w:rsidRDefault="004460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B309E0" w:rsidRPr="00F5345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B309E0" w:rsidRPr="00F5345F" w:rsidRDefault="004460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309E0" w:rsidRPr="00F5345F" w:rsidRDefault="004460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:rsidR="00B309E0" w:rsidRPr="00F5345F" w:rsidRDefault="004460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B309E0" w:rsidRPr="00F5345F" w:rsidRDefault="00B309E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:rsidR="00B309E0" w:rsidRPr="00F5345F" w:rsidRDefault="004460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0F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B309E0" w:rsidRPr="00F5345F" w:rsidRDefault="00B309E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:rsidR="00B309E0" w:rsidRPr="00F5345F" w:rsidRDefault="0044606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B309E0" w:rsidRPr="00F5345F" w:rsidRDefault="0044606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09E0" w:rsidRPr="00F5345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B309E0" w:rsidRPr="00F5345F" w:rsidRDefault="007866DB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>100</w:t>
            </w:r>
            <w:r w:rsidR="00B309E0" w:rsidRPr="00F5345F">
              <w:rPr>
                <w:rFonts w:ascii="Times New Roman" w:eastAsia="MS Gothic" w:hAnsi="Times New Roman" w:cs="Times New Roman"/>
                <w:sz w:val="18"/>
              </w:rPr>
              <w:t>% završni ispit</w:t>
            </w:r>
          </w:p>
        </w:tc>
      </w:tr>
      <w:tr w:rsidR="00B7300F" w:rsidRPr="00F5345F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B7300F" w:rsidRPr="00F5345F" w:rsidRDefault="00B7300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B7300F" w:rsidRPr="00F5345F" w:rsidRDefault="00B7300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B7300F" w:rsidRPr="00F5345F" w:rsidRDefault="00B73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B7300F" w:rsidRPr="00F5345F" w:rsidRDefault="00B7300F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0 – 49 % nedovoljan (1)</w:t>
            </w:r>
          </w:p>
        </w:tc>
      </w:tr>
      <w:tr w:rsidR="00B7300F" w:rsidRPr="00F5345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300F" w:rsidRPr="00F5345F" w:rsidRDefault="00B7300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B7300F" w:rsidRPr="00F5345F" w:rsidRDefault="00B73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B7300F" w:rsidRPr="00F5345F" w:rsidRDefault="00B7300F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50 – 62 % dovoljan (2)</w:t>
            </w:r>
          </w:p>
        </w:tc>
      </w:tr>
      <w:tr w:rsidR="00B7300F" w:rsidRPr="00F5345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300F" w:rsidRPr="00F5345F" w:rsidRDefault="00B7300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B7300F" w:rsidRPr="00F5345F" w:rsidRDefault="00B73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B7300F" w:rsidRPr="00F5345F" w:rsidRDefault="00B7300F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63 – 79 % dobar (3)</w:t>
            </w:r>
          </w:p>
        </w:tc>
      </w:tr>
      <w:tr w:rsidR="00B7300F" w:rsidRPr="00F5345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300F" w:rsidRPr="00F5345F" w:rsidRDefault="00B7300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B7300F" w:rsidRPr="00F5345F" w:rsidRDefault="00B73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B7300F" w:rsidRPr="00F5345F" w:rsidRDefault="00B7300F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80 – 91 % vrlo dobar (4)</w:t>
            </w:r>
          </w:p>
        </w:tc>
      </w:tr>
      <w:tr w:rsidR="00B7300F" w:rsidRPr="00F5345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300F" w:rsidRPr="00F5345F" w:rsidRDefault="00B7300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B7300F" w:rsidRPr="00F5345F" w:rsidRDefault="00B73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B7300F" w:rsidRPr="00F5345F" w:rsidRDefault="00B7300F" w:rsidP="00AA39B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5345F">
              <w:rPr>
                <w:rFonts w:ascii="Times New Roman" w:hAnsi="Times New Roman" w:cs="Times New Roman"/>
                <w:sz w:val="18"/>
              </w:rPr>
              <w:t>92 – 100 % izvrstan (5)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B309E0" w:rsidRPr="00F5345F" w:rsidRDefault="004460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E0" w:rsidRPr="00F5345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B309E0" w:rsidRPr="00F5345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B309E0" w:rsidRPr="00F5345F" w:rsidTr="009A284F">
        <w:tc>
          <w:tcPr>
            <w:tcW w:w="1801" w:type="dxa"/>
            <w:shd w:val="clear" w:color="auto" w:fill="F2F2F2" w:themeFill="background1" w:themeFillShade="F2"/>
          </w:tcPr>
          <w:p w:rsidR="00B309E0" w:rsidRPr="00F5345F" w:rsidRDefault="00B309E0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5345F">
              <w:rPr>
                <w:rFonts w:ascii="Times New Roman" w:hAnsi="Times New Roman" w:cs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F5345F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F5345F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F5345F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F5345F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5345F">
              <w:rPr>
                <w:rFonts w:ascii="Times New Roman" w:hAnsi="Times New Roman" w:cs="Times New Roman"/>
              </w:rPr>
              <w:t xml:space="preserve"> </w:t>
            </w:r>
            <w:r w:rsidRPr="00F5345F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B309E0" w:rsidRPr="00F5345F" w:rsidRDefault="00B309E0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F5345F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5345F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B309E0" w:rsidRPr="00F5345F" w:rsidRDefault="00B309E0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5345F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:rsidR="00794496" w:rsidRPr="00F5345F" w:rsidRDefault="00794496">
      <w:pPr>
        <w:rPr>
          <w:rFonts w:ascii="Times New Roman" w:hAnsi="Times New Roman" w:cs="Times New Roman"/>
          <w:sz w:val="24"/>
        </w:rPr>
      </w:pPr>
    </w:p>
    <w:sectPr w:rsidR="00794496" w:rsidRPr="00F534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6C" w:rsidRDefault="0044606C" w:rsidP="009947BA">
      <w:pPr>
        <w:spacing w:before="0" w:after="0"/>
      </w:pPr>
      <w:r>
        <w:separator/>
      </w:r>
    </w:p>
  </w:endnote>
  <w:endnote w:type="continuationSeparator" w:id="0">
    <w:p w:rsidR="0044606C" w:rsidRDefault="0044606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6C" w:rsidRDefault="0044606C" w:rsidP="009947BA">
      <w:pPr>
        <w:spacing w:before="0" w:after="0"/>
      </w:pPr>
      <w:r>
        <w:separator/>
      </w:r>
    </w:p>
  </w:footnote>
  <w:footnote w:type="continuationSeparator" w:id="0">
    <w:p w:rsidR="0044606C" w:rsidRDefault="0044606C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A790E"/>
    <w:rsid w:val="000C0578"/>
    <w:rsid w:val="0010332B"/>
    <w:rsid w:val="001443A2"/>
    <w:rsid w:val="00150B32"/>
    <w:rsid w:val="00197510"/>
    <w:rsid w:val="001B3026"/>
    <w:rsid w:val="0022722C"/>
    <w:rsid w:val="0028545A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4606C"/>
    <w:rsid w:val="00453362"/>
    <w:rsid w:val="00461219"/>
    <w:rsid w:val="00470F6D"/>
    <w:rsid w:val="00483BC3"/>
    <w:rsid w:val="004923F4"/>
    <w:rsid w:val="004B553E"/>
    <w:rsid w:val="004C2DE0"/>
    <w:rsid w:val="005353ED"/>
    <w:rsid w:val="005514C3"/>
    <w:rsid w:val="005D3518"/>
    <w:rsid w:val="005E1668"/>
    <w:rsid w:val="005F6E0B"/>
    <w:rsid w:val="0062328F"/>
    <w:rsid w:val="00684BBC"/>
    <w:rsid w:val="006B4920"/>
    <w:rsid w:val="00700D7A"/>
    <w:rsid w:val="007361E7"/>
    <w:rsid w:val="007368EB"/>
    <w:rsid w:val="0078125F"/>
    <w:rsid w:val="00785CAA"/>
    <w:rsid w:val="007866DB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60FFE"/>
    <w:rsid w:val="00A9132B"/>
    <w:rsid w:val="00AA1A5A"/>
    <w:rsid w:val="00AD23FB"/>
    <w:rsid w:val="00AD5D3F"/>
    <w:rsid w:val="00B309E0"/>
    <w:rsid w:val="00B4202A"/>
    <w:rsid w:val="00B612F8"/>
    <w:rsid w:val="00B71A57"/>
    <w:rsid w:val="00B7300F"/>
    <w:rsid w:val="00B7307A"/>
    <w:rsid w:val="00C02454"/>
    <w:rsid w:val="00C3477B"/>
    <w:rsid w:val="00C85956"/>
    <w:rsid w:val="00C9733D"/>
    <w:rsid w:val="00CA3783"/>
    <w:rsid w:val="00CB23F4"/>
    <w:rsid w:val="00CF2B2F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F02A8F"/>
    <w:rsid w:val="00F513E0"/>
    <w:rsid w:val="00F5345F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01904-B01D-4FB7-B9D8-D4D66186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30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googqs-tidbit">
    <w:name w:val="goog_qs-tidbit"/>
    <w:rsid w:val="00CF2B2F"/>
    <w:rPr>
      <w:rFonts w:cs="Times New Roman"/>
    </w:rPr>
  </w:style>
  <w:style w:type="paragraph" w:customStyle="1" w:styleId="Default">
    <w:name w:val="Default"/>
    <w:rsid w:val="00B7300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33F2-E7AC-44D5-9E33-24741471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nlovric</cp:lastModifiedBy>
  <cp:revision>10</cp:revision>
  <dcterms:created xsi:type="dcterms:W3CDTF">2019-07-25T09:03:00Z</dcterms:created>
  <dcterms:modified xsi:type="dcterms:W3CDTF">2019-10-01T08:11:00Z</dcterms:modified>
</cp:coreProperties>
</file>