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B379" w14:textId="77777777" w:rsidR="00155FFB" w:rsidRPr="00435272" w:rsidRDefault="008942F0" w:rsidP="00435272">
      <w:pPr>
        <w:jc w:val="center"/>
        <w:rPr>
          <w:rFonts w:ascii="Merriweather Black" w:hAnsi="Merriweather Black" w:cs="Times New Roman"/>
          <w:b/>
          <w:sz w:val="20"/>
          <w:lang w:val="en-GB"/>
        </w:rPr>
      </w:pPr>
      <w:r w:rsidRPr="00435272">
        <w:rPr>
          <w:rFonts w:ascii="Merriweather Black" w:hAnsi="Merriweather Black" w:cs="Times New Roman"/>
          <w:b/>
          <w:sz w:val="20"/>
          <w:lang w:val="en-GB"/>
        </w:rPr>
        <w:t xml:space="preserve">1.3.2. </w:t>
      </w:r>
      <w:r w:rsidR="00963B1F" w:rsidRPr="00435272">
        <w:rPr>
          <w:rFonts w:ascii="Merriweather Black" w:hAnsi="Merriweather Black" w:cs="Times New Roman"/>
          <w:b/>
          <w:i/>
          <w:sz w:val="20"/>
          <w:lang w:val="en-GB"/>
        </w:rPr>
        <w:t>S</w:t>
      </w:r>
      <w:r w:rsidR="0010332B" w:rsidRPr="00435272">
        <w:rPr>
          <w:rFonts w:ascii="Merriweather Black" w:hAnsi="Merriweather Black" w:cs="Times New Roman"/>
          <w:b/>
          <w:i/>
          <w:sz w:val="20"/>
          <w:lang w:val="en-GB"/>
        </w:rPr>
        <w:t>yllabus</w:t>
      </w:r>
      <w:r w:rsidR="00B4202A" w:rsidRPr="00435272">
        <w:rPr>
          <w:rStyle w:val="FootnoteReference"/>
          <w:rFonts w:ascii="Merriweather Black" w:hAnsi="Merriweather Black" w:cs="Times New Roman"/>
          <w:b/>
          <w:sz w:val="20"/>
          <w:lang w:val="en-GB"/>
        </w:rPr>
        <w:footnoteReference w:customMarkFollows="1" w:id="1"/>
        <w:t>*</w:t>
      </w:r>
    </w:p>
    <w:tbl>
      <w:tblPr>
        <w:tblStyle w:val="TableGrid"/>
        <w:tblW w:w="9539" w:type="dxa"/>
        <w:tblLayout w:type="fixed"/>
        <w:tblLook w:val="04A0" w:firstRow="1" w:lastRow="0" w:firstColumn="1" w:lastColumn="0" w:noHBand="0" w:noVBand="1"/>
      </w:tblPr>
      <w:tblGrid>
        <w:gridCol w:w="1524"/>
        <w:gridCol w:w="141"/>
        <w:gridCol w:w="570"/>
        <w:gridCol w:w="93"/>
        <w:gridCol w:w="454"/>
        <w:gridCol w:w="161"/>
        <w:gridCol w:w="154"/>
        <w:gridCol w:w="110"/>
        <w:gridCol w:w="207"/>
        <w:gridCol w:w="112"/>
        <w:gridCol w:w="71"/>
        <w:gridCol w:w="339"/>
        <w:gridCol w:w="53"/>
        <w:gridCol w:w="88"/>
        <w:gridCol w:w="284"/>
        <w:gridCol w:w="31"/>
        <w:gridCol w:w="632"/>
        <w:gridCol w:w="46"/>
        <w:gridCol w:w="221"/>
        <w:gridCol w:w="204"/>
        <w:gridCol w:w="170"/>
        <w:gridCol w:w="113"/>
        <w:gridCol w:w="284"/>
        <w:gridCol w:w="459"/>
        <w:gridCol w:w="108"/>
        <w:gridCol w:w="138"/>
        <w:gridCol w:w="63"/>
        <w:gridCol w:w="33"/>
        <w:gridCol w:w="145"/>
        <w:gridCol w:w="46"/>
        <w:gridCol w:w="284"/>
        <w:gridCol w:w="283"/>
        <w:gridCol w:w="164"/>
        <w:gridCol w:w="200"/>
        <w:gridCol w:w="33"/>
        <w:gridCol w:w="169"/>
        <w:gridCol w:w="426"/>
        <w:gridCol w:w="901"/>
        <w:gridCol w:w="16"/>
        <w:gridCol w:w="9"/>
      </w:tblGrid>
      <w:tr w:rsidR="004B553E" w:rsidRPr="005A6D0A" w14:paraId="73AABF30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  <w:vAlign w:val="center"/>
          </w:tcPr>
          <w:p w14:paraId="1F23FBAE" w14:textId="77777777" w:rsidR="004B553E" w:rsidRPr="005A6D0A" w:rsidRDefault="006F1429" w:rsidP="009A284F">
            <w:pPr>
              <w:spacing w:before="20" w:after="20"/>
              <w:rPr>
                <w:rFonts w:ascii="Merriweather Light" w:hAnsi="Merriweather Light" w:cs="Times New Roman"/>
                <w:b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lang w:val="en-GB"/>
              </w:rPr>
              <w:t>Course name</w:t>
            </w:r>
          </w:p>
        </w:tc>
        <w:tc>
          <w:tcPr>
            <w:tcW w:w="5102" w:type="dxa"/>
            <w:gridSpan w:val="24"/>
            <w:vAlign w:val="center"/>
          </w:tcPr>
          <w:p w14:paraId="427B0A11" w14:textId="77777777" w:rsidR="004B553E" w:rsidRPr="005A6D0A" w:rsidRDefault="00815656" w:rsidP="00085FCA">
            <w:pPr>
              <w:spacing w:before="20" w:after="20"/>
              <w:rPr>
                <w:rFonts w:ascii="Merriweather Light" w:hAnsi="Merriweather Light" w:cs="Times New Roman"/>
                <w:b/>
                <w:sz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20"/>
                <w:lang w:val="en-GB"/>
              </w:rPr>
              <w:t>Introduction</w:t>
            </w:r>
            <w:r w:rsidR="00090759" w:rsidRPr="005A6D0A">
              <w:rPr>
                <w:rFonts w:ascii="Merriweather Black" w:hAnsi="Merriweather Black" w:cs="Times New Roman"/>
                <w:b/>
                <w:sz w:val="20"/>
                <w:lang w:val="en-GB"/>
              </w:rPr>
              <w:t xml:space="preserve"> </w:t>
            </w:r>
            <w:r w:rsidRPr="005A6D0A">
              <w:rPr>
                <w:rFonts w:ascii="Merriweather Black" w:hAnsi="Merriweather Black" w:cs="Times New Roman"/>
                <w:b/>
                <w:sz w:val="20"/>
                <w:lang w:val="en-GB"/>
              </w:rPr>
              <w:t>to Croatian History</w:t>
            </w:r>
          </w:p>
        </w:tc>
        <w:tc>
          <w:tcPr>
            <w:tcW w:w="1218" w:type="dxa"/>
            <w:gridSpan w:val="8"/>
            <w:shd w:val="clear" w:color="auto" w:fill="F2F2F2" w:themeFill="background1" w:themeFillShade="F2"/>
          </w:tcPr>
          <w:p w14:paraId="053E0F70" w14:textId="77777777" w:rsidR="004B553E" w:rsidRPr="005A6D0A" w:rsidRDefault="006F1429" w:rsidP="0079745E">
            <w:pPr>
              <w:spacing w:before="20" w:after="20"/>
              <w:jc w:val="center"/>
              <w:rPr>
                <w:rFonts w:ascii="Merriweather Black" w:hAnsi="Merriweather Black" w:cs="Times New Roman"/>
                <w:b/>
                <w:sz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20"/>
                <w:lang w:val="en-GB"/>
              </w:rPr>
              <w:t>sch. y.</w:t>
            </w:r>
          </w:p>
        </w:tc>
        <w:tc>
          <w:tcPr>
            <w:tcW w:w="1545" w:type="dxa"/>
            <w:gridSpan w:val="5"/>
            <w:vAlign w:val="center"/>
          </w:tcPr>
          <w:p w14:paraId="38E2E653" w14:textId="0F555E33" w:rsidR="004B553E" w:rsidRPr="005A6D0A" w:rsidRDefault="004B553E" w:rsidP="00435272">
            <w:pPr>
              <w:spacing w:before="20" w:after="20"/>
              <w:jc w:val="center"/>
              <w:rPr>
                <w:rFonts w:ascii="Merriweather Light" w:hAnsi="Merriweather Light" w:cs="Times New Roman"/>
                <w:sz w:val="20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20"/>
                <w:lang w:val="en-GB"/>
              </w:rPr>
              <w:t>20</w:t>
            </w:r>
            <w:r w:rsidR="005F133E" w:rsidRPr="005A6D0A">
              <w:rPr>
                <w:rFonts w:ascii="Merriweather Light" w:hAnsi="Merriweather Light" w:cs="Times New Roman"/>
                <w:sz w:val="20"/>
                <w:lang w:val="en-GB"/>
              </w:rPr>
              <w:t>2</w:t>
            </w:r>
            <w:r w:rsidR="00BB0D74">
              <w:rPr>
                <w:rFonts w:ascii="Merriweather Light" w:hAnsi="Merriweather Light" w:cs="Times New Roman"/>
                <w:sz w:val="20"/>
                <w:lang w:val="en-GB"/>
              </w:rPr>
              <w:t>4</w:t>
            </w:r>
            <w:r w:rsidR="006F1429" w:rsidRPr="005A6D0A">
              <w:rPr>
                <w:rFonts w:ascii="Merriweather Light" w:hAnsi="Merriweather Light" w:cs="Times New Roman"/>
                <w:sz w:val="20"/>
                <w:lang w:val="en-GB"/>
              </w:rPr>
              <w:t>/202</w:t>
            </w:r>
            <w:r w:rsidR="00BB0D74">
              <w:rPr>
                <w:rFonts w:ascii="Merriweather Light" w:hAnsi="Merriweather Light" w:cs="Times New Roman"/>
                <w:sz w:val="20"/>
                <w:lang w:val="en-GB"/>
              </w:rPr>
              <w:t>5</w:t>
            </w:r>
          </w:p>
        </w:tc>
      </w:tr>
      <w:tr w:rsidR="004B553E" w:rsidRPr="005A6D0A" w14:paraId="0B22AB38" w14:textId="77777777" w:rsidTr="00BB49BA">
        <w:trPr>
          <w:gridAfter w:val="1"/>
          <w:wAfter w:w="9" w:type="dxa"/>
        </w:trPr>
        <w:tc>
          <w:tcPr>
            <w:tcW w:w="1524" w:type="dxa"/>
            <w:shd w:val="clear" w:color="auto" w:fill="F2F2F2" w:themeFill="background1" w:themeFillShade="F2"/>
          </w:tcPr>
          <w:p w14:paraId="787587C0" w14:textId="77777777" w:rsidR="004B553E" w:rsidRPr="005A6D0A" w:rsidRDefault="006F1429" w:rsidP="0079745E">
            <w:pPr>
              <w:spacing w:before="20" w:after="20"/>
              <w:rPr>
                <w:rFonts w:ascii="Merriweather Black" w:hAnsi="Merriweather Black" w:cs="Times New Roman"/>
                <w:b/>
                <w:sz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20"/>
                <w:lang w:val="en-GB"/>
              </w:rPr>
              <w:t>Study name</w:t>
            </w:r>
          </w:p>
        </w:tc>
        <w:tc>
          <w:tcPr>
            <w:tcW w:w="5243" w:type="dxa"/>
            <w:gridSpan w:val="25"/>
            <w:vAlign w:val="center"/>
          </w:tcPr>
          <w:p w14:paraId="4FE5BF91" w14:textId="77777777" w:rsidR="004B553E" w:rsidRPr="005A6D0A" w:rsidRDefault="006F1429" w:rsidP="00085FCA">
            <w:pPr>
              <w:spacing w:before="20" w:after="20"/>
              <w:rPr>
                <w:rFonts w:ascii="Merriweather Light" w:hAnsi="Merriweather Light" w:cs="Times New Roman"/>
                <w:sz w:val="20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20"/>
                <w:lang w:val="en-GB"/>
              </w:rPr>
              <w:t xml:space="preserve">History – </w:t>
            </w:r>
            <w:r w:rsidR="00842186" w:rsidRPr="005A6D0A">
              <w:rPr>
                <w:rFonts w:ascii="Merriweather Light" w:hAnsi="Merriweather Light" w:cs="Times New Roman"/>
                <w:sz w:val="20"/>
                <w:lang w:val="en-GB"/>
              </w:rPr>
              <w:t xml:space="preserve">undergraduate </w:t>
            </w:r>
            <w:r w:rsidR="00085FCA" w:rsidRPr="005A6D0A">
              <w:rPr>
                <w:rFonts w:ascii="Merriweather Light" w:hAnsi="Merriweather Light" w:cs="Times New Roman"/>
                <w:sz w:val="20"/>
                <w:lang w:val="en-GB"/>
              </w:rPr>
              <w:t>or</w:t>
            </w:r>
            <w:r w:rsidR="00842186" w:rsidRPr="005A6D0A">
              <w:rPr>
                <w:rFonts w:ascii="Merriweather Light" w:hAnsi="Merriweather Light" w:cs="Times New Roman"/>
                <w:sz w:val="20"/>
                <w:lang w:val="en-GB"/>
              </w:rPr>
              <w:t xml:space="preserve"> </w:t>
            </w:r>
            <w:r w:rsidRPr="005A6D0A">
              <w:rPr>
                <w:rFonts w:ascii="Merriweather Light" w:hAnsi="Merriweather Light" w:cs="Times New Roman"/>
                <w:sz w:val="20"/>
                <w:lang w:val="en-GB"/>
              </w:rPr>
              <w:t xml:space="preserve">graduate study </w:t>
            </w:r>
          </w:p>
        </w:tc>
        <w:tc>
          <w:tcPr>
            <w:tcW w:w="1218" w:type="dxa"/>
            <w:gridSpan w:val="8"/>
            <w:shd w:val="clear" w:color="auto" w:fill="F2F2F2" w:themeFill="background1" w:themeFillShade="F2"/>
          </w:tcPr>
          <w:p w14:paraId="3BF31064" w14:textId="77777777" w:rsidR="004B553E" w:rsidRPr="005A6D0A" w:rsidRDefault="004B553E" w:rsidP="00BB49BA">
            <w:pPr>
              <w:spacing w:before="20" w:after="20"/>
              <w:jc w:val="center"/>
              <w:rPr>
                <w:rFonts w:ascii="Merriweather Light" w:hAnsi="Merriweather Light" w:cs="Times New Roman"/>
                <w:b/>
                <w:sz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20"/>
                <w:lang w:val="en-GB"/>
              </w:rPr>
              <w:t>ECTS</w:t>
            </w:r>
          </w:p>
        </w:tc>
        <w:tc>
          <w:tcPr>
            <w:tcW w:w="1545" w:type="dxa"/>
            <w:gridSpan w:val="5"/>
          </w:tcPr>
          <w:p w14:paraId="76C8A9B0" w14:textId="77777777" w:rsidR="004B553E" w:rsidRPr="005A6D0A" w:rsidRDefault="002F207C" w:rsidP="0079745E">
            <w:pPr>
              <w:spacing w:before="20" w:after="20"/>
              <w:jc w:val="center"/>
              <w:rPr>
                <w:rFonts w:ascii="Merriweather Black" w:hAnsi="Merriweather Black" w:cs="Times New Roman"/>
                <w:b/>
                <w:sz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20"/>
                <w:lang w:val="en-GB"/>
              </w:rPr>
              <w:t>5</w:t>
            </w:r>
          </w:p>
        </w:tc>
      </w:tr>
      <w:tr w:rsidR="004B553E" w:rsidRPr="005A6D0A" w14:paraId="5DAD3909" w14:textId="77777777" w:rsidTr="00BB49BA">
        <w:trPr>
          <w:gridAfter w:val="1"/>
          <w:wAfter w:w="9" w:type="dxa"/>
        </w:trPr>
        <w:tc>
          <w:tcPr>
            <w:tcW w:w="1524" w:type="dxa"/>
            <w:shd w:val="clear" w:color="auto" w:fill="F2F2F2" w:themeFill="background1" w:themeFillShade="F2"/>
          </w:tcPr>
          <w:p w14:paraId="4C0F3492" w14:textId="77777777" w:rsidR="004B553E" w:rsidRPr="005A6D0A" w:rsidRDefault="006F1429" w:rsidP="0079745E">
            <w:pPr>
              <w:spacing w:before="20" w:after="20"/>
              <w:rPr>
                <w:rFonts w:ascii="Merriweather Black" w:hAnsi="Merriweather Black" w:cs="Times New Roman"/>
                <w:b/>
                <w:sz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20"/>
                <w:lang w:val="en-GB"/>
              </w:rPr>
              <w:t>Department</w:t>
            </w:r>
          </w:p>
        </w:tc>
        <w:tc>
          <w:tcPr>
            <w:tcW w:w="8006" w:type="dxa"/>
            <w:gridSpan w:val="38"/>
            <w:shd w:val="clear" w:color="auto" w:fill="FFFFFF" w:themeFill="background1"/>
            <w:vAlign w:val="center"/>
          </w:tcPr>
          <w:p w14:paraId="7E60ABD6" w14:textId="77777777" w:rsidR="004B553E" w:rsidRPr="005A6D0A" w:rsidRDefault="006F1429" w:rsidP="0079745E">
            <w:pPr>
              <w:spacing w:before="20" w:after="20"/>
              <w:rPr>
                <w:rFonts w:ascii="Merriweather Light" w:hAnsi="Merriweather Light" w:cs="Times New Roman"/>
                <w:sz w:val="20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20"/>
                <w:lang w:val="en-GB"/>
              </w:rPr>
              <w:t>Department of history</w:t>
            </w:r>
          </w:p>
        </w:tc>
      </w:tr>
      <w:tr w:rsidR="004B553E" w:rsidRPr="005A6D0A" w14:paraId="0462C378" w14:textId="77777777" w:rsidTr="00BB49BA">
        <w:trPr>
          <w:gridAfter w:val="1"/>
          <w:wAfter w:w="9" w:type="dxa"/>
        </w:trPr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5971F7B1" w14:textId="77777777" w:rsidR="004B553E" w:rsidRPr="005A6D0A" w:rsidRDefault="006F1429" w:rsidP="00D5334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  <w:t>Study level</w:t>
            </w:r>
          </w:p>
        </w:tc>
        <w:tc>
          <w:tcPr>
            <w:tcW w:w="2553" w:type="dxa"/>
            <w:gridSpan w:val="13"/>
          </w:tcPr>
          <w:p w14:paraId="043830F3" w14:textId="77777777" w:rsidR="004B553E" w:rsidRPr="005A6D0A" w:rsidRDefault="007F566F" w:rsidP="006F142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553E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</w:t>
            </w:r>
            <w:r w:rsidR="006F1429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>undergraduate</w:t>
            </w:r>
            <w:r w:rsidR="004B553E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8" w:type="dxa"/>
            <w:gridSpan w:val="6"/>
          </w:tcPr>
          <w:p w14:paraId="7ABA801D" w14:textId="77777777" w:rsidR="004B553E" w:rsidRPr="005A6D0A" w:rsidRDefault="007F566F" w:rsidP="006F142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553E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</w:t>
            </w:r>
            <w:r w:rsidR="006F1429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>graduate</w:t>
            </w:r>
          </w:p>
        </w:tc>
        <w:tc>
          <w:tcPr>
            <w:tcW w:w="1559" w:type="dxa"/>
            <w:gridSpan w:val="10"/>
          </w:tcPr>
          <w:p w14:paraId="5FD1CE52" w14:textId="77777777" w:rsidR="004B553E" w:rsidRPr="005A6D0A" w:rsidRDefault="007F566F" w:rsidP="006F142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553E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</w:t>
            </w:r>
            <w:r w:rsidR="006F1429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>integrated</w:t>
            </w:r>
          </w:p>
        </w:tc>
        <w:tc>
          <w:tcPr>
            <w:tcW w:w="2476" w:type="dxa"/>
            <w:gridSpan w:val="9"/>
            <w:shd w:val="clear" w:color="auto" w:fill="FFFFFF" w:themeFill="background1"/>
          </w:tcPr>
          <w:p w14:paraId="0EE50E50" w14:textId="77777777" w:rsidR="004B553E" w:rsidRPr="005A6D0A" w:rsidRDefault="007F566F" w:rsidP="006F1429">
            <w:pPr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553E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</w:t>
            </w:r>
            <w:r w:rsidR="006F1429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>postgraduate</w:t>
            </w:r>
          </w:p>
        </w:tc>
      </w:tr>
      <w:tr w:rsidR="00842186" w:rsidRPr="005A6D0A" w14:paraId="5A066399" w14:textId="77777777" w:rsidTr="00BB49BA">
        <w:trPr>
          <w:gridAfter w:val="1"/>
          <w:wAfter w:w="9" w:type="dxa"/>
        </w:trPr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5BF1931B" w14:textId="77777777" w:rsidR="00842186" w:rsidRPr="005A6D0A" w:rsidRDefault="00842186" w:rsidP="00D5334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gridSpan w:val="13"/>
          </w:tcPr>
          <w:p w14:paraId="5DA55BB5" w14:textId="77777777" w:rsidR="00842186" w:rsidRPr="005A6D0A" w:rsidRDefault="007F566F" w:rsidP="00EB090A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-104667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842186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undergraduate (visiting students only)</w:t>
            </w:r>
          </w:p>
        </w:tc>
        <w:tc>
          <w:tcPr>
            <w:tcW w:w="2977" w:type="dxa"/>
            <w:gridSpan w:val="16"/>
          </w:tcPr>
          <w:p w14:paraId="2BBC13FC" w14:textId="77777777" w:rsidR="00842186" w:rsidRPr="005A6D0A" w:rsidRDefault="007F566F" w:rsidP="006F142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-911998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842186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graduate (visiting students only)</w:t>
            </w:r>
          </w:p>
        </w:tc>
        <w:tc>
          <w:tcPr>
            <w:tcW w:w="2476" w:type="dxa"/>
            <w:gridSpan w:val="9"/>
            <w:shd w:val="clear" w:color="auto" w:fill="FFFFFF" w:themeFill="background1"/>
          </w:tcPr>
          <w:p w14:paraId="69576D3B" w14:textId="77777777" w:rsidR="00842186" w:rsidRPr="005A6D0A" w:rsidRDefault="00842186" w:rsidP="006F1429">
            <w:pPr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</w:p>
        </w:tc>
      </w:tr>
      <w:tr w:rsidR="002F207C" w:rsidRPr="005A6D0A" w14:paraId="21122F29" w14:textId="77777777" w:rsidTr="00BB49BA">
        <w:trPr>
          <w:gridAfter w:val="1"/>
          <w:wAfter w:w="9" w:type="dxa"/>
        </w:trPr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4227C564" w14:textId="77777777" w:rsidR="002F207C" w:rsidRPr="005A6D0A" w:rsidRDefault="002F207C" w:rsidP="00D5334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  <w:t>Study type</w:t>
            </w:r>
          </w:p>
        </w:tc>
        <w:tc>
          <w:tcPr>
            <w:tcW w:w="2553" w:type="dxa"/>
            <w:gridSpan w:val="13"/>
          </w:tcPr>
          <w:p w14:paraId="0ACC5AE2" w14:textId="77777777" w:rsidR="002F207C" w:rsidRPr="005A6D0A" w:rsidRDefault="007F566F" w:rsidP="009A284F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single major</w:t>
            </w:r>
          </w:p>
          <w:p w14:paraId="5CC74380" w14:textId="77777777" w:rsidR="002F207C" w:rsidRPr="005A6D0A" w:rsidRDefault="007F566F" w:rsidP="006F142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double major</w:t>
            </w:r>
          </w:p>
        </w:tc>
        <w:tc>
          <w:tcPr>
            <w:tcW w:w="1214" w:type="dxa"/>
            <w:gridSpan w:val="5"/>
            <w:vAlign w:val="center"/>
          </w:tcPr>
          <w:p w14:paraId="63757691" w14:textId="77777777" w:rsidR="002F207C" w:rsidRPr="005A6D0A" w:rsidRDefault="007F566F" w:rsidP="006F142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university</w:t>
            </w:r>
          </w:p>
        </w:tc>
        <w:tc>
          <w:tcPr>
            <w:tcW w:w="1763" w:type="dxa"/>
            <w:gridSpan w:val="11"/>
            <w:vAlign w:val="center"/>
          </w:tcPr>
          <w:p w14:paraId="2C527630" w14:textId="77777777" w:rsidR="002F207C" w:rsidRPr="005A6D0A" w:rsidRDefault="007F566F" w:rsidP="006F142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professional</w:t>
            </w:r>
          </w:p>
        </w:tc>
        <w:tc>
          <w:tcPr>
            <w:tcW w:w="2476" w:type="dxa"/>
            <w:gridSpan w:val="9"/>
            <w:shd w:val="clear" w:color="auto" w:fill="FFFFFF" w:themeFill="background1"/>
            <w:vAlign w:val="center"/>
          </w:tcPr>
          <w:p w14:paraId="728CDD49" w14:textId="77777777" w:rsidR="002F207C" w:rsidRPr="005A6D0A" w:rsidRDefault="007F566F" w:rsidP="006F1429">
            <w:pPr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18"/>
                  <w:lang w:val="en-GB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  <w:t xml:space="preserve"> specialistic</w:t>
            </w:r>
          </w:p>
        </w:tc>
      </w:tr>
      <w:tr w:rsidR="002F207C" w:rsidRPr="005A6D0A" w14:paraId="4C4642BC" w14:textId="77777777" w:rsidTr="00BB49BA">
        <w:trPr>
          <w:gridAfter w:val="1"/>
          <w:wAfter w:w="9" w:type="dxa"/>
        </w:trPr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51A7F243" w14:textId="77777777" w:rsidR="002F207C" w:rsidRPr="005A6D0A" w:rsidRDefault="002F207C" w:rsidP="00D5334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  <w:t>Study year</w:t>
            </w:r>
          </w:p>
        </w:tc>
        <w:tc>
          <w:tcPr>
            <w:tcW w:w="2002" w:type="dxa"/>
            <w:gridSpan w:val="9"/>
            <w:shd w:val="clear" w:color="auto" w:fill="FFFFFF" w:themeFill="background1"/>
            <w:vAlign w:val="center"/>
          </w:tcPr>
          <w:p w14:paraId="3305E149" w14:textId="77777777" w:rsidR="002F207C" w:rsidRPr="005A6D0A" w:rsidRDefault="007F5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1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03A08B69" w14:textId="77777777" w:rsidR="002F207C" w:rsidRPr="005A6D0A" w:rsidRDefault="007F5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2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4110DF1C" w14:textId="77777777" w:rsidR="002F207C" w:rsidRPr="005A6D0A" w:rsidRDefault="007F5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3</w:t>
            </w:r>
          </w:p>
        </w:tc>
        <w:tc>
          <w:tcPr>
            <w:tcW w:w="1497" w:type="dxa"/>
            <w:gridSpan w:val="11"/>
            <w:shd w:val="clear" w:color="auto" w:fill="FFFFFF" w:themeFill="background1"/>
            <w:vAlign w:val="center"/>
          </w:tcPr>
          <w:p w14:paraId="3F4C1634" w14:textId="77777777" w:rsidR="002F207C" w:rsidRPr="005A6D0A" w:rsidRDefault="007F5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4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14:paraId="64FCAB58" w14:textId="77777777" w:rsidR="002F207C" w:rsidRPr="005A6D0A" w:rsidRDefault="007F566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5</w:t>
            </w:r>
          </w:p>
        </w:tc>
      </w:tr>
      <w:tr w:rsidR="002F207C" w:rsidRPr="005A6D0A" w14:paraId="08BFADD1" w14:textId="77777777" w:rsidTr="00BB49BA">
        <w:trPr>
          <w:gridAfter w:val="1"/>
          <w:wAfter w:w="9" w:type="dxa"/>
          <w:trHeight w:val="80"/>
        </w:trPr>
        <w:tc>
          <w:tcPr>
            <w:tcW w:w="1524" w:type="dxa"/>
            <w:vMerge w:val="restart"/>
            <w:shd w:val="clear" w:color="auto" w:fill="F2F2F2" w:themeFill="background1" w:themeFillShade="F2"/>
            <w:vAlign w:val="center"/>
          </w:tcPr>
          <w:p w14:paraId="3E7AF220" w14:textId="77777777" w:rsidR="002F207C" w:rsidRPr="005A6D0A" w:rsidRDefault="002F207C" w:rsidP="00D5334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1419" w:type="dxa"/>
            <w:gridSpan w:val="5"/>
            <w:vMerge w:val="restart"/>
          </w:tcPr>
          <w:p w14:paraId="0DA78893" w14:textId="77777777" w:rsidR="002F207C" w:rsidRPr="005A6D0A" w:rsidRDefault="007F566F" w:rsidP="009A284F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winter</w:t>
            </w:r>
          </w:p>
          <w:p w14:paraId="6F2F25CC" w14:textId="77777777" w:rsidR="002F207C" w:rsidRPr="005A6D0A" w:rsidRDefault="007F566F" w:rsidP="006F142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summer</w:t>
            </w:r>
          </w:p>
        </w:tc>
        <w:tc>
          <w:tcPr>
            <w:tcW w:w="1418" w:type="dxa"/>
            <w:gridSpan w:val="9"/>
            <w:vAlign w:val="center"/>
          </w:tcPr>
          <w:p w14:paraId="7EC9FE5D" w14:textId="77777777" w:rsidR="002F207C" w:rsidRPr="005A6D0A" w:rsidRDefault="007F566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I</w:t>
            </w:r>
          </w:p>
        </w:tc>
        <w:tc>
          <w:tcPr>
            <w:tcW w:w="1304" w:type="dxa"/>
            <w:gridSpan w:val="6"/>
            <w:vAlign w:val="center"/>
          </w:tcPr>
          <w:p w14:paraId="26302E59" w14:textId="77777777" w:rsidR="002F207C" w:rsidRPr="005A6D0A" w:rsidRDefault="007F566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II</w:t>
            </w:r>
          </w:p>
        </w:tc>
        <w:tc>
          <w:tcPr>
            <w:tcW w:w="964" w:type="dxa"/>
            <w:gridSpan w:val="4"/>
            <w:vAlign w:val="center"/>
          </w:tcPr>
          <w:p w14:paraId="216EC9DA" w14:textId="77777777" w:rsidR="002F207C" w:rsidRPr="005A6D0A" w:rsidRDefault="007F566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III</w:t>
            </w:r>
          </w:p>
        </w:tc>
        <w:tc>
          <w:tcPr>
            <w:tcW w:w="1558" w:type="dxa"/>
            <w:gridSpan w:val="11"/>
            <w:vAlign w:val="center"/>
          </w:tcPr>
          <w:p w14:paraId="3242688B" w14:textId="77777777" w:rsidR="002F207C" w:rsidRPr="005A6D0A" w:rsidRDefault="007F566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IV</w:t>
            </w:r>
          </w:p>
        </w:tc>
        <w:tc>
          <w:tcPr>
            <w:tcW w:w="1343" w:type="dxa"/>
            <w:gridSpan w:val="3"/>
            <w:vAlign w:val="center"/>
          </w:tcPr>
          <w:p w14:paraId="38B166C0" w14:textId="77777777" w:rsidR="002F207C" w:rsidRPr="005A6D0A" w:rsidRDefault="007F566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V</w:t>
            </w:r>
          </w:p>
        </w:tc>
      </w:tr>
      <w:tr w:rsidR="002F207C" w:rsidRPr="005A6D0A" w14:paraId="1E91315B" w14:textId="77777777" w:rsidTr="00BB49BA">
        <w:trPr>
          <w:gridAfter w:val="1"/>
          <w:wAfter w:w="9" w:type="dxa"/>
          <w:trHeight w:val="80"/>
        </w:trPr>
        <w:tc>
          <w:tcPr>
            <w:tcW w:w="1524" w:type="dxa"/>
            <w:vMerge/>
            <w:shd w:val="clear" w:color="auto" w:fill="F2F2F2" w:themeFill="background1" w:themeFillShade="F2"/>
            <w:vAlign w:val="center"/>
          </w:tcPr>
          <w:p w14:paraId="3C7BEB24" w14:textId="77777777" w:rsidR="002F207C" w:rsidRPr="005A6D0A" w:rsidRDefault="002F207C" w:rsidP="00D5334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419" w:type="dxa"/>
            <w:gridSpan w:val="5"/>
            <w:vMerge/>
          </w:tcPr>
          <w:p w14:paraId="78F8911A" w14:textId="77777777" w:rsidR="002F207C" w:rsidRPr="005A6D0A" w:rsidRDefault="002F207C" w:rsidP="0079745E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</w:p>
        </w:tc>
        <w:tc>
          <w:tcPr>
            <w:tcW w:w="1418" w:type="dxa"/>
            <w:gridSpan w:val="9"/>
            <w:vAlign w:val="center"/>
          </w:tcPr>
          <w:p w14:paraId="72E38828" w14:textId="77777777" w:rsidR="002F207C" w:rsidRPr="005A6D0A" w:rsidRDefault="007F566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VI</w:t>
            </w:r>
          </w:p>
        </w:tc>
        <w:tc>
          <w:tcPr>
            <w:tcW w:w="1304" w:type="dxa"/>
            <w:gridSpan w:val="6"/>
            <w:vAlign w:val="center"/>
          </w:tcPr>
          <w:p w14:paraId="1DEB4E29" w14:textId="77777777" w:rsidR="002F207C" w:rsidRPr="005A6D0A" w:rsidRDefault="007F566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VII</w:t>
            </w:r>
          </w:p>
        </w:tc>
        <w:tc>
          <w:tcPr>
            <w:tcW w:w="964" w:type="dxa"/>
            <w:gridSpan w:val="4"/>
            <w:vAlign w:val="center"/>
          </w:tcPr>
          <w:p w14:paraId="67223676" w14:textId="77777777" w:rsidR="002F207C" w:rsidRPr="005A6D0A" w:rsidRDefault="007F566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60723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VIII</w:t>
            </w:r>
          </w:p>
        </w:tc>
        <w:tc>
          <w:tcPr>
            <w:tcW w:w="1558" w:type="dxa"/>
            <w:gridSpan w:val="11"/>
            <w:vAlign w:val="center"/>
          </w:tcPr>
          <w:p w14:paraId="26903638" w14:textId="77777777" w:rsidR="002F207C" w:rsidRPr="005A6D0A" w:rsidRDefault="007F566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IX</w:t>
            </w:r>
          </w:p>
        </w:tc>
        <w:tc>
          <w:tcPr>
            <w:tcW w:w="1343" w:type="dxa"/>
            <w:gridSpan w:val="3"/>
            <w:vAlign w:val="center"/>
          </w:tcPr>
          <w:p w14:paraId="057CC4A9" w14:textId="77777777" w:rsidR="002F207C" w:rsidRPr="005A6D0A" w:rsidRDefault="007F566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20616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X</w:t>
            </w:r>
          </w:p>
        </w:tc>
      </w:tr>
      <w:tr w:rsidR="002F207C" w:rsidRPr="005A6D0A" w14:paraId="01C45C3E" w14:textId="77777777" w:rsidTr="00BB49BA">
        <w:trPr>
          <w:gridAfter w:val="1"/>
          <w:wAfter w:w="9" w:type="dxa"/>
          <w:trHeight w:val="80"/>
        </w:trPr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431F3F1C" w14:textId="77777777" w:rsidR="002F207C" w:rsidRPr="005A6D0A" w:rsidRDefault="002F207C" w:rsidP="00E6313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  <w:t>Course status</w:t>
            </w:r>
          </w:p>
        </w:tc>
        <w:tc>
          <w:tcPr>
            <w:tcW w:w="1419" w:type="dxa"/>
            <w:gridSpan w:val="5"/>
            <w:vAlign w:val="center"/>
          </w:tcPr>
          <w:p w14:paraId="20C4E0DA" w14:textId="77777777" w:rsidR="002F207C" w:rsidRPr="005A6D0A" w:rsidRDefault="007F566F" w:rsidP="00E631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obligatory</w:t>
            </w:r>
          </w:p>
        </w:tc>
        <w:tc>
          <w:tcPr>
            <w:tcW w:w="1418" w:type="dxa"/>
            <w:gridSpan w:val="9"/>
            <w:vAlign w:val="center"/>
          </w:tcPr>
          <w:p w14:paraId="3BF2D034" w14:textId="77777777" w:rsidR="002F207C" w:rsidRPr="005A6D0A" w:rsidRDefault="007F566F" w:rsidP="00E631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elective</w:t>
            </w:r>
          </w:p>
        </w:tc>
        <w:tc>
          <w:tcPr>
            <w:tcW w:w="2268" w:type="dxa"/>
            <w:gridSpan w:val="10"/>
            <w:vAlign w:val="center"/>
          </w:tcPr>
          <w:p w14:paraId="6D2A3FE4" w14:textId="77777777" w:rsidR="002F207C" w:rsidRPr="005A6D0A" w:rsidRDefault="007F566F" w:rsidP="00E631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elective course offered to other studies</w:t>
            </w:r>
          </w:p>
        </w:tc>
        <w:tc>
          <w:tcPr>
            <w:tcW w:w="1558" w:type="dxa"/>
            <w:gridSpan w:val="11"/>
            <w:shd w:val="clear" w:color="auto" w:fill="F2F2F2" w:themeFill="background1" w:themeFillShade="F2"/>
            <w:vAlign w:val="center"/>
          </w:tcPr>
          <w:p w14:paraId="08E20857" w14:textId="77777777" w:rsidR="002F207C" w:rsidRPr="005A6D0A" w:rsidRDefault="002F207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Educational competencies</w:t>
            </w:r>
          </w:p>
        </w:tc>
        <w:tc>
          <w:tcPr>
            <w:tcW w:w="1343" w:type="dxa"/>
            <w:gridSpan w:val="3"/>
            <w:vAlign w:val="center"/>
          </w:tcPr>
          <w:p w14:paraId="6266A47B" w14:textId="77777777" w:rsidR="002F207C" w:rsidRPr="005A6D0A" w:rsidRDefault="007F566F" w:rsidP="00E6313D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YES </w:t>
            </w:r>
          </w:p>
          <w:p w14:paraId="16C0E957" w14:textId="77777777" w:rsidR="002F207C" w:rsidRPr="005A6D0A" w:rsidRDefault="007F566F" w:rsidP="00E6313D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NO</w:t>
            </w:r>
          </w:p>
        </w:tc>
      </w:tr>
      <w:tr w:rsidR="002F207C" w:rsidRPr="005A6D0A" w14:paraId="0A828C93" w14:textId="77777777" w:rsidTr="00BB49BA">
        <w:trPr>
          <w:gridAfter w:val="1"/>
          <w:wAfter w:w="9" w:type="dxa"/>
          <w:trHeight w:val="80"/>
        </w:trPr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65135B63" w14:textId="77777777" w:rsidR="002F207C" w:rsidRPr="005A6D0A" w:rsidRDefault="002F207C" w:rsidP="00D5334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Hours per semester</w:t>
            </w:r>
          </w:p>
        </w:tc>
        <w:tc>
          <w:tcPr>
            <w:tcW w:w="804" w:type="dxa"/>
            <w:gridSpan w:val="3"/>
            <w:vAlign w:val="center"/>
          </w:tcPr>
          <w:p w14:paraId="32A5CCE5" w14:textId="77777777" w:rsidR="002F207C" w:rsidRPr="005A6D0A" w:rsidRDefault="002F207C" w:rsidP="009D62D5">
            <w:pPr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>15</w:t>
            </w:r>
          </w:p>
        </w:tc>
        <w:tc>
          <w:tcPr>
            <w:tcW w:w="454" w:type="dxa"/>
            <w:vAlign w:val="center"/>
          </w:tcPr>
          <w:p w14:paraId="1DB23533" w14:textId="77777777" w:rsidR="002F207C" w:rsidRPr="005A6D0A" w:rsidRDefault="002F207C" w:rsidP="009D62D5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20"/>
                <w:lang w:val="en-GB"/>
              </w:rPr>
              <w:t>L</w:t>
            </w:r>
          </w:p>
        </w:tc>
        <w:tc>
          <w:tcPr>
            <w:tcW w:w="425" w:type="dxa"/>
            <w:gridSpan w:val="3"/>
            <w:vAlign w:val="center"/>
          </w:tcPr>
          <w:p w14:paraId="58AFAE5B" w14:textId="77777777" w:rsidR="002F207C" w:rsidRPr="005A6D0A" w:rsidRDefault="002F207C" w:rsidP="009D62D5">
            <w:pPr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>15</w:t>
            </w:r>
          </w:p>
        </w:tc>
        <w:tc>
          <w:tcPr>
            <w:tcW w:w="390" w:type="dxa"/>
            <w:gridSpan w:val="3"/>
            <w:vAlign w:val="center"/>
          </w:tcPr>
          <w:p w14:paraId="66C0C82D" w14:textId="77777777" w:rsidR="002F207C" w:rsidRPr="005A6D0A" w:rsidRDefault="002F207C" w:rsidP="009D62D5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szCs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20"/>
                <w:lang w:val="en-GB"/>
              </w:rPr>
              <w:t>S</w:t>
            </w:r>
          </w:p>
        </w:tc>
        <w:tc>
          <w:tcPr>
            <w:tcW w:w="392" w:type="dxa"/>
            <w:gridSpan w:val="2"/>
            <w:vAlign w:val="center"/>
          </w:tcPr>
          <w:p w14:paraId="0CCC4E80" w14:textId="77777777" w:rsidR="002F207C" w:rsidRPr="005A6D0A" w:rsidRDefault="002F207C" w:rsidP="009D62D5">
            <w:pPr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14EC4A69" w14:textId="77777777" w:rsidR="002F207C" w:rsidRPr="005A6D0A" w:rsidRDefault="002F207C" w:rsidP="009D62D5">
            <w:pPr>
              <w:spacing w:before="20" w:after="20"/>
              <w:rPr>
                <w:rFonts w:ascii="Merriweather Light" w:hAnsi="Merriweather Light" w:cs="Times New Roman"/>
                <w:b/>
                <w:sz w:val="18"/>
                <w:szCs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20"/>
                <w:lang w:val="en-GB"/>
              </w:rPr>
              <w:t>E</w:t>
            </w:r>
          </w:p>
        </w:tc>
        <w:tc>
          <w:tcPr>
            <w:tcW w:w="3826" w:type="dxa"/>
            <w:gridSpan w:val="21"/>
            <w:shd w:val="clear" w:color="auto" w:fill="F2F2F2" w:themeFill="background1" w:themeFillShade="F2"/>
            <w:vAlign w:val="center"/>
          </w:tcPr>
          <w:p w14:paraId="47EF63AE" w14:textId="77777777" w:rsidR="002F207C" w:rsidRPr="005A6D0A" w:rsidRDefault="002F207C" w:rsidP="00AA654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20"/>
                <w:lang w:val="en-GB"/>
              </w:rPr>
              <w:t>E-learning system</w:t>
            </w:r>
          </w:p>
        </w:tc>
        <w:tc>
          <w:tcPr>
            <w:tcW w:w="1343" w:type="dxa"/>
            <w:gridSpan w:val="3"/>
            <w:vAlign w:val="center"/>
          </w:tcPr>
          <w:p w14:paraId="45CFD344" w14:textId="77777777" w:rsidR="002F207C" w:rsidRPr="005A6D0A" w:rsidRDefault="007F566F" w:rsidP="00AA654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3E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YES </w:t>
            </w:r>
          </w:p>
          <w:p w14:paraId="50E8B55D" w14:textId="77777777" w:rsidR="002F207C" w:rsidRPr="005A6D0A" w:rsidRDefault="007F566F" w:rsidP="00AA654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szCs w:val="20"/>
                  <w:lang w:val="en-GB"/>
                </w:rPr>
                <w:id w:val="-128026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5A6D0A">
                  <w:rPr>
                    <w:rFonts w:ascii="MS Mincho" w:eastAsia="MS Mincho" w:hAnsi="MS Mincho" w:cs="MS Mincho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 xml:space="preserve"> NO</w:t>
            </w:r>
          </w:p>
        </w:tc>
      </w:tr>
      <w:tr w:rsidR="002F207C" w:rsidRPr="005A6D0A" w14:paraId="292696B3" w14:textId="77777777" w:rsidTr="00BB49BA">
        <w:trPr>
          <w:gridAfter w:val="1"/>
          <w:wAfter w:w="9" w:type="dxa"/>
          <w:trHeight w:val="80"/>
        </w:trPr>
        <w:tc>
          <w:tcPr>
            <w:tcW w:w="2235" w:type="dxa"/>
            <w:gridSpan w:val="3"/>
            <w:shd w:val="clear" w:color="auto" w:fill="F2F2F2" w:themeFill="background1" w:themeFillShade="F2"/>
            <w:vAlign w:val="center"/>
          </w:tcPr>
          <w:p w14:paraId="4D57AA6F" w14:textId="77777777" w:rsidR="002F207C" w:rsidRPr="005A6D0A" w:rsidRDefault="002F207C" w:rsidP="00D5334D">
            <w:pPr>
              <w:spacing w:before="20" w:after="20"/>
              <w:rPr>
                <w:rFonts w:ascii="Merriweather Light" w:hAnsi="Merriweather Light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Time and place of lectures</w:t>
            </w:r>
          </w:p>
        </w:tc>
        <w:tc>
          <w:tcPr>
            <w:tcW w:w="3260" w:type="dxa"/>
            <w:gridSpan w:val="17"/>
            <w:vAlign w:val="center"/>
          </w:tcPr>
          <w:p w14:paraId="373245A8" w14:textId="2DE3226C" w:rsidR="002F207C" w:rsidRPr="005A6D0A" w:rsidRDefault="002F207C" w:rsidP="005F133E">
            <w:pPr>
              <w:spacing w:before="20" w:after="20"/>
              <w:jc w:val="center"/>
              <w:rPr>
                <w:rFonts w:ascii="Merriweather Light" w:hAnsi="Merriweather Light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2692" w:type="dxa"/>
            <w:gridSpan w:val="16"/>
            <w:shd w:val="clear" w:color="auto" w:fill="F2F2F2" w:themeFill="background1" w:themeFillShade="F2"/>
            <w:vAlign w:val="center"/>
          </w:tcPr>
          <w:p w14:paraId="1EA71600" w14:textId="77777777" w:rsidR="002F207C" w:rsidRPr="005A6D0A" w:rsidRDefault="002F207C" w:rsidP="00AA654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szCs w:val="20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szCs w:val="20"/>
                <w:lang w:val="en-GB"/>
              </w:rPr>
              <w:t>Language(s) of instruction</w:t>
            </w:r>
          </w:p>
        </w:tc>
        <w:tc>
          <w:tcPr>
            <w:tcW w:w="1343" w:type="dxa"/>
            <w:gridSpan w:val="3"/>
            <w:vAlign w:val="center"/>
          </w:tcPr>
          <w:p w14:paraId="0B03BAEC" w14:textId="77777777" w:rsidR="002F207C" w:rsidRPr="005A6D0A" w:rsidRDefault="002F207C" w:rsidP="009A284F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  <w:t>English</w:t>
            </w:r>
          </w:p>
        </w:tc>
      </w:tr>
      <w:tr w:rsidR="002F207C" w:rsidRPr="005A6D0A" w14:paraId="3FFB109F" w14:textId="77777777" w:rsidTr="00BB49BA">
        <w:trPr>
          <w:gridAfter w:val="1"/>
          <w:wAfter w:w="9" w:type="dxa"/>
          <w:trHeight w:val="80"/>
        </w:trPr>
        <w:tc>
          <w:tcPr>
            <w:tcW w:w="2235" w:type="dxa"/>
            <w:gridSpan w:val="3"/>
            <w:shd w:val="clear" w:color="auto" w:fill="F2F2F2" w:themeFill="background1" w:themeFillShade="F2"/>
            <w:vAlign w:val="center"/>
          </w:tcPr>
          <w:p w14:paraId="487015E3" w14:textId="77777777" w:rsidR="002F207C" w:rsidRPr="005A6D0A" w:rsidRDefault="002F207C" w:rsidP="00D5334D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Beginning of lectures</w:t>
            </w:r>
          </w:p>
        </w:tc>
        <w:tc>
          <w:tcPr>
            <w:tcW w:w="3260" w:type="dxa"/>
            <w:gridSpan w:val="17"/>
            <w:vAlign w:val="center"/>
          </w:tcPr>
          <w:p w14:paraId="0F047C89" w14:textId="6386D40B" w:rsidR="002F207C" w:rsidRPr="005A6D0A" w:rsidRDefault="002F207C" w:rsidP="00A65DAD">
            <w:pPr>
              <w:spacing w:before="20" w:after="20"/>
              <w:jc w:val="center"/>
              <w:rPr>
                <w:rFonts w:ascii="Merriweather Light" w:hAnsi="Merriweather Light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2126" w:type="dxa"/>
            <w:gridSpan w:val="12"/>
            <w:shd w:val="clear" w:color="auto" w:fill="F2F2F2" w:themeFill="background1" w:themeFillShade="F2"/>
            <w:vAlign w:val="center"/>
          </w:tcPr>
          <w:p w14:paraId="3A2A49CB" w14:textId="77777777" w:rsidR="002F207C" w:rsidRPr="005A6D0A" w:rsidRDefault="002F207C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End of lectures</w:t>
            </w:r>
          </w:p>
        </w:tc>
        <w:tc>
          <w:tcPr>
            <w:tcW w:w="1909" w:type="dxa"/>
            <w:gridSpan w:val="7"/>
            <w:vAlign w:val="center"/>
          </w:tcPr>
          <w:p w14:paraId="035DC92A" w14:textId="02088AD8" w:rsidR="002F207C" w:rsidRPr="005A6D0A" w:rsidRDefault="002F207C" w:rsidP="00A65DAD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</w:p>
        </w:tc>
      </w:tr>
      <w:tr w:rsidR="00845A86" w:rsidRPr="005A6D0A" w14:paraId="4C391126" w14:textId="77777777" w:rsidTr="00BB49BA">
        <w:trPr>
          <w:gridAfter w:val="1"/>
          <w:wAfter w:w="9" w:type="dxa"/>
        </w:trPr>
        <w:tc>
          <w:tcPr>
            <w:tcW w:w="2235" w:type="dxa"/>
            <w:gridSpan w:val="3"/>
            <w:shd w:val="clear" w:color="auto" w:fill="F2F2F2" w:themeFill="background1" w:themeFillShade="F2"/>
            <w:vAlign w:val="center"/>
          </w:tcPr>
          <w:p w14:paraId="1DB97EBA" w14:textId="77777777" w:rsidR="00845A86" w:rsidRPr="005A6D0A" w:rsidRDefault="00845A86" w:rsidP="00845A86">
            <w:pPr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Preconditions for enrolment</w:t>
            </w:r>
          </w:p>
        </w:tc>
        <w:tc>
          <w:tcPr>
            <w:tcW w:w="7295" w:type="dxa"/>
            <w:gridSpan w:val="36"/>
          </w:tcPr>
          <w:p w14:paraId="703F6CAD" w14:textId="77777777" w:rsidR="00845A86" w:rsidRPr="005A6D0A" w:rsidRDefault="00845A86" w:rsidP="009D62D5">
            <w:pPr>
              <w:jc w:val="both"/>
              <w:rPr>
                <w:rFonts w:ascii="Merriweather Light" w:hAnsi="Merriweather Light" w:cs="Times New Roman"/>
                <w:sz w:val="18"/>
                <w:szCs w:val="18"/>
              </w:rPr>
            </w:pPr>
            <w:r w:rsidRPr="005A6D0A">
              <w:rPr>
                <w:rFonts w:ascii="Merriweather Light" w:hAnsi="Merriweather Light" w:cs="Times New Roman"/>
                <w:sz w:val="18"/>
                <w:szCs w:val="18"/>
              </w:rPr>
              <w:t>Besides being a visiting student, it is necessary to have basic knowledge of English language in speaking and writing. Also some knowledge of Croatian language is desirable.</w:t>
            </w:r>
          </w:p>
        </w:tc>
      </w:tr>
      <w:tr w:rsidR="002F207C" w:rsidRPr="005A6D0A" w14:paraId="59F96DF5" w14:textId="77777777" w:rsidTr="002C6CA1">
        <w:trPr>
          <w:gridAfter w:val="1"/>
          <w:wAfter w:w="9" w:type="dxa"/>
        </w:trPr>
        <w:tc>
          <w:tcPr>
            <w:tcW w:w="9530" w:type="dxa"/>
            <w:gridSpan w:val="39"/>
            <w:shd w:val="clear" w:color="auto" w:fill="D9D9D9" w:themeFill="background1" w:themeFillShade="D9"/>
          </w:tcPr>
          <w:p w14:paraId="4453B2A6" w14:textId="77777777" w:rsidR="002F207C" w:rsidRPr="005A6D0A" w:rsidRDefault="002F207C" w:rsidP="0079745E">
            <w:pPr>
              <w:spacing w:before="20" w:after="20"/>
              <w:rPr>
                <w:rFonts w:ascii="Merriweather Light" w:hAnsi="Merriweather Light" w:cs="Times New Roman"/>
                <w:sz w:val="18"/>
                <w:szCs w:val="18"/>
                <w:lang w:val="en-GB"/>
              </w:rPr>
            </w:pPr>
          </w:p>
        </w:tc>
      </w:tr>
      <w:tr w:rsidR="00FE605F" w:rsidRPr="005A6D0A" w14:paraId="64D522E2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50FC402C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Course holder</w:t>
            </w:r>
          </w:p>
        </w:tc>
        <w:tc>
          <w:tcPr>
            <w:tcW w:w="7865" w:type="dxa"/>
            <w:gridSpan w:val="37"/>
          </w:tcPr>
          <w:p w14:paraId="7836AE99" w14:textId="77777777" w:rsidR="00FE605F" w:rsidRPr="005A6D0A" w:rsidRDefault="00FE605F" w:rsidP="00E128D4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Professor Anamarija Kurilić</w:t>
            </w:r>
            <w:r w:rsidR="009D62D5" w:rsidRPr="005A6D0A">
              <w:rPr>
                <w:rFonts w:ascii="Merriweather Light" w:hAnsi="Merriweather Light" w:cs="Times New Roman"/>
                <w:sz w:val="18"/>
                <w:lang w:val="en-GB"/>
              </w:rPr>
              <w:t>, full professor</w:t>
            </w:r>
          </w:p>
        </w:tc>
      </w:tr>
      <w:tr w:rsidR="00FE605F" w:rsidRPr="005A6D0A" w14:paraId="3A696694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5FA82951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405" w:type="dxa"/>
            <w:gridSpan w:val="16"/>
          </w:tcPr>
          <w:p w14:paraId="5145F3DF" w14:textId="224C0D4B" w:rsidR="00FE605F" w:rsidRPr="005A6D0A" w:rsidRDefault="00FE605F" w:rsidP="00E128D4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Style w:val="Hyperlink"/>
                <w:rFonts w:ascii="Merriweather Light" w:hAnsi="Merriweather Light" w:cs="Times New Roman"/>
                <w:sz w:val="18"/>
                <w:u w:val="none"/>
                <w:lang w:val="en-GB"/>
              </w:rPr>
              <w:t xml:space="preserve">    </w:t>
            </w:r>
            <w:hyperlink r:id="rId8" w:history="1">
              <w:r w:rsidRPr="005A6D0A">
                <w:rPr>
                  <w:rStyle w:val="Hyperlink"/>
                  <w:rFonts w:ascii="Merriweather Light" w:hAnsi="Merriweather Light" w:cs="Times New Roman"/>
                  <w:sz w:val="18"/>
                  <w:lang w:val="en-GB"/>
                </w:rPr>
                <w:t>akurilic@unizd.hr</w:t>
              </w:r>
            </w:hyperlink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     </w:t>
            </w:r>
          </w:p>
        </w:tc>
        <w:tc>
          <w:tcPr>
            <w:tcW w:w="1760" w:type="dxa"/>
            <w:gridSpan w:val="9"/>
            <w:shd w:val="clear" w:color="auto" w:fill="F2F2F2" w:themeFill="background1" w:themeFillShade="F2"/>
          </w:tcPr>
          <w:p w14:paraId="03A99DFD" w14:textId="77777777" w:rsidR="00FE605F" w:rsidRPr="005A6D0A" w:rsidRDefault="00FE605F" w:rsidP="00E128D4">
            <w:pPr>
              <w:tabs>
                <w:tab w:val="left" w:pos="1218"/>
              </w:tabs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700" w:type="dxa"/>
            <w:gridSpan w:val="12"/>
          </w:tcPr>
          <w:p w14:paraId="1D1E9C93" w14:textId="77777777" w:rsidR="00FE605F" w:rsidRPr="005A6D0A" w:rsidRDefault="00FE605F" w:rsidP="00FE605F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Mon 12AM</w:t>
            </w:r>
            <w:r w:rsidR="009C5565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</w:t>
            </w: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-</w:t>
            </w:r>
            <w:r w:rsidR="009C5565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1</w:t>
            </w: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PM Thu 10-11AM</w:t>
            </w:r>
          </w:p>
        </w:tc>
      </w:tr>
      <w:tr w:rsidR="00FE605F" w:rsidRPr="005A6D0A" w14:paraId="1CDDC543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789117ED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865" w:type="dxa"/>
            <w:gridSpan w:val="37"/>
          </w:tcPr>
          <w:p w14:paraId="714FC8F8" w14:textId="77777777" w:rsidR="00FE605F" w:rsidRPr="005A6D0A" w:rsidRDefault="00FE605F" w:rsidP="00E128D4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Professor Anamarija Kurilić</w:t>
            </w:r>
            <w:r w:rsidR="009D62D5" w:rsidRPr="005A6D0A">
              <w:rPr>
                <w:rFonts w:ascii="Merriweather Light" w:hAnsi="Merriweather Light" w:cs="Times New Roman"/>
                <w:sz w:val="18"/>
                <w:lang w:val="en-GB"/>
              </w:rPr>
              <w:t>, full professor</w:t>
            </w:r>
          </w:p>
        </w:tc>
      </w:tr>
      <w:tr w:rsidR="00FE605F" w:rsidRPr="005A6D0A" w14:paraId="0D614B50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02E555DD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it-IT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it-IT"/>
              </w:rPr>
              <w:t>E-mail</w:t>
            </w:r>
          </w:p>
        </w:tc>
        <w:tc>
          <w:tcPr>
            <w:tcW w:w="3405" w:type="dxa"/>
            <w:gridSpan w:val="16"/>
          </w:tcPr>
          <w:p w14:paraId="331BAD71" w14:textId="55E6EA2F" w:rsidR="00FE605F" w:rsidRPr="005A6D0A" w:rsidRDefault="009C5565" w:rsidP="009C5565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it-IT"/>
              </w:rPr>
            </w:pPr>
            <w:r w:rsidRPr="005A6D0A">
              <w:rPr>
                <w:rStyle w:val="Hyperlink"/>
                <w:rFonts w:ascii="Merriweather Light" w:hAnsi="Merriweather Light" w:cs="Times New Roman"/>
                <w:sz w:val="18"/>
                <w:u w:val="none"/>
                <w:lang w:val="it-IT"/>
              </w:rPr>
              <w:t xml:space="preserve">   </w:t>
            </w:r>
            <w:hyperlink r:id="rId9" w:history="1">
              <w:r w:rsidRPr="005A6D0A">
                <w:rPr>
                  <w:rStyle w:val="Hyperlink"/>
                  <w:rFonts w:ascii="Merriweather Light" w:hAnsi="Merriweather Light" w:cs="Times New Roman"/>
                  <w:sz w:val="18"/>
                  <w:lang w:val="it-IT"/>
                </w:rPr>
                <w:t>akurilic@unizd.hr</w:t>
              </w:r>
            </w:hyperlink>
          </w:p>
        </w:tc>
        <w:tc>
          <w:tcPr>
            <w:tcW w:w="1760" w:type="dxa"/>
            <w:gridSpan w:val="9"/>
            <w:shd w:val="clear" w:color="auto" w:fill="F2F2F2" w:themeFill="background1" w:themeFillShade="F2"/>
          </w:tcPr>
          <w:p w14:paraId="47D99DB2" w14:textId="77777777" w:rsidR="00FE605F" w:rsidRPr="005A6D0A" w:rsidRDefault="009C5565" w:rsidP="00E128D4">
            <w:pPr>
              <w:tabs>
                <w:tab w:val="left" w:pos="1218"/>
              </w:tabs>
              <w:spacing w:before="20" w:after="20"/>
              <w:rPr>
                <w:rFonts w:ascii="Merriweather Black" w:hAnsi="Merriweather Black" w:cs="Times New Roman"/>
                <w:b/>
                <w:sz w:val="18"/>
                <w:lang w:val="it-IT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700" w:type="dxa"/>
            <w:gridSpan w:val="12"/>
          </w:tcPr>
          <w:p w14:paraId="028397C0" w14:textId="77777777" w:rsidR="00FE605F" w:rsidRPr="005A6D0A" w:rsidRDefault="009C5565" w:rsidP="00FE605F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Mon 12AM - 1PM Thu 10-11AM</w:t>
            </w:r>
          </w:p>
        </w:tc>
      </w:tr>
      <w:tr w:rsidR="00FE605F" w:rsidRPr="005A6D0A" w14:paraId="41A860E7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6892F622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865" w:type="dxa"/>
            <w:gridSpan w:val="37"/>
          </w:tcPr>
          <w:p w14:paraId="68F95E6D" w14:textId="77777777" w:rsidR="00FE605F" w:rsidRPr="005A6D0A" w:rsidRDefault="009D62D5" w:rsidP="009D62D5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it-IT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it-IT"/>
              </w:rPr>
              <w:t>Professor</w:t>
            </w:r>
            <w:r w:rsidR="00FE605F" w:rsidRPr="005A6D0A">
              <w:rPr>
                <w:rFonts w:ascii="Merriweather Light" w:hAnsi="Merriweather Light" w:cs="Times New Roman"/>
                <w:sz w:val="18"/>
                <w:lang w:val="it-IT"/>
              </w:rPr>
              <w:t xml:space="preserve"> Mateo Bratanić, </w:t>
            </w:r>
            <w:r w:rsidR="00915933" w:rsidRPr="005A6D0A">
              <w:rPr>
                <w:rFonts w:ascii="Merriweather Light" w:hAnsi="Merriweather Light" w:cs="Times New Roman"/>
                <w:sz w:val="18"/>
                <w:lang w:val="it-IT"/>
              </w:rPr>
              <w:t>associate</w:t>
            </w:r>
            <w:r w:rsidR="00FE605F" w:rsidRPr="005A6D0A">
              <w:rPr>
                <w:rFonts w:ascii="Merriweather Light" w:hAnsi="Merriweather Light" w:cs="Times New Roman"/>
                <w:sz w:val="18"/>
                <w:lang w:val="it-IT"/>
              </w:rPr>
              <w:t xml:space="preserve"> professor </w:t>
            </w:r>
          </w:p>
        </w:tc>
      </w:tr>
      <w:tr w:rsidR="00FE605F" w:rsidRPr="005A6D0A" w14:paraId="68BC299F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739A4792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405" w:type="dxa"/>
            <w:gridSpan w:val="16"/>
          </w:tcPr>
          <w:p w14:paraId="00B89B16" w14:textId="22BB995D" w:rsidR="00FE605F" w:rsidRPr="005A6D0A" w:rsidRDefault="007F566F" w:rsidP="00E128D4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hyperlink r:id="rId10" w:history="1">
              <w:r w:rsidR="000C128F" w:rsidRPr="0072523F">
                <w:rPr>
                  <w:rStyle w:val="Hyperlink"/>
                  <w:rFonts w:ascii="Merriweather Light" w:hAnsi="Merriweather Light" w:cs="Times New Roman"/>
                  <w:sz w:val="18"/>
                  <w:lang w:val="en-GB"/>
                </w:rPr>
                <w:t>bratanic@unizd.hr</w:t>
              </w:r>
            </w:hyperlink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</w:t>
            </w:r>
          </w:p>
        </w:tc>
        <w:tc>
          <w:tcPr>
            <w:tcW w:w="1760" w:type="dxa"/>
            <w:gridSpan w:val="9"/>
            <w:shd w:val="clear" w:color="auto" w:fill="F2F2F2" w:themeFill="background1" w:themeFillShade="F2"/>
          </w:tcPr>
          <w:p w14:paraId="452255F6" w14:textId="77777777" w:rsidR="00FE605F" w:rsidRPr="005A6D0A" w:rsidRDefault="00FE605F" w:rsidP="00E128D4">
            <w:pPr>
              <w:tabs>
                <w:tab w:val="left" w:pos="1218"/>
              </w:tabs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700" w:type="dxa"/>
            <w:gridSpan w:val="12"/>
          </w:tcPr>
          <w:p w14:paraId="51489655" w14:textId="77777777" w:rsidR="00FE605F" w:rsidRPr="005A6D0A" w:rsidRDefault="00FE605F" w:rsidP="00E128D4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Wen 10-</w:t>
            </w:r>
            <w:r w:rsidR="009C5565" w:rsidRPr="005A6D0A">
              <w:rPr>
                <w:rFonts w:ascii="Merriweather Light" w:hAnsi="Merriweather Light" w:cs="Times New Roman"/>
                <w:sz w:val="18"/>
                <w:lang w:val="en-GB"/>
              </w:rPr>
              <w:t>11</w:t>
            </w: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AM</w:t>
            </w:r>
          </w:p>
        </w:tc>
      </w:tr>
      <w:tr w:rsidR="007F3CEA" w:rsidRPr="005A6D0A" w14:paraId="1DDCCBC5" w14:textId="77777777" w:rsidTr="00157FC1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1595A470" w14:textId="77777777" w:rsidR="007F3CEA" w:rsidRPr="005A6D0A" w:rsidRDefault="007F3CEA" w:rsidP="00157FC1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865" w:type="dxa"/>
            <w:gridSpan w:val="37"/>
          </w:tcPr>
          <w:p w14:paraId="28D210D7" w14:textId="77777777" w:rsidR="007F3CEA" w:rsidRPr="005A6D0A" w:rsidRDefault="007F3CEA" w:rsidP="00157FC1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it-IT"/>
              </w:rPr>
            </w:pPr>
            <w:r>
              <w:rPr>
                <w:rFonts w:ascii="Merriweather Light" w:hAnsi="Merriweather Light" w:cs="Times New Roman"/>
                <w:sz w:val="18"/>
                <w:lang w:val="it-IT"/>
              </w:rPr>
              <w:t xml:space="preserve">Professor </w:t>
            </w:r>
            <w:r w:rsidRPr="005A6D0A">
              <w:rPr>
                <w:rFonts w:ascii="Merriweather Light" w:hAnsi="Merriweather Light" w:cs="Times New Roman"/>
                <w:sz w:val="18"/>
                <w:lang w:val="it-IT"/>
              </w:rPr>
              <w:t xml:space="preserve">Zrinka Serventi, </w:t>
            </w:r>
            <w:r w:rsidRPr="007F3CEA">
              <w:rPr>
                <w:rFonts w:ascii="Merriweather Light" w:hAnsi="Merriweather Light" w:cs="Times New Roman"/>
                <w:sz w:val="18"/>
                <w:lang w:val="it-IT"/>
              </w:rPr>
              <w:t xml:space="preserve">associate </w:t>
            </w:r>
            <w:r w:rsidRPr="005A6D0A">
              <w:rPr>
                <w:rFonts w:ascii="Merriweather Light" w:hAnsi="Merriweather Light" w:cs="Times New Roman"/>
                <w:sz w:val="18"/>
                <w:lang w:val="it-IT"/>
              </w:rPr>
              <w:t>professor</w:t>
            </w:r>
          </w:p>
        </w:tc>
      </w:tr>
      <w:tr w:rsidR="007F3CEA" w:rsidRPr="005A6D0A" w14:paraId="07057DBE" w14:textId="77777777" w:rsidTr="00157FC1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3A81F8DE" w14:textId="77777777" w:rsidR="007F3CEA" w:rsidRPr="005A6D0A" w:rsidRDefault="007F3CEA" w:rsidP="00157FC1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405" w:type="dxa"/>
            <w:gridSpan w:val="16"/>
          </w:tcPr>
          <w:p w14:paraId="27352E3F" w14:textId="0E16F642" w:rsidR="000C128F" w:rsidRPr="000C128F" w:rsidRDefault="007F566F" w:rsidP="00157FC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1" w:history="1">
              <w:r w:rsidR="000C128F" w:rsidRPr="000C128F">
                <w:rPr>
                  <w:rStyle w:val="Hyperlink"/>
                  <w:rFonts w:ascii="Merriweather" w:hAnsi="Merriweather"/>
                  <w:sz w:val="18"/>
                  <w:szCs w:val="18"/>
                </w:rPr>
                <w:t>zserventi@unizd.hr</w:t>
              </w:r>
            </w:hyperlink>
          </w:p>
        </w:tc>
        <w:tc>
          <w:tcPr>
            <w:tcW w:w="1760" w:type="dxa"/>
            <w:gridSpan w:val="9"/>
            <w:shd w:val="clear" w:color="auto" w:fill="F2F2F2" w:themeFill="background1" w:themeFillShade="F2"/>
          </w:tcPr>
          <w:p w14:paraId="3E3BF94F" w14:textId="77777777" w:rsidR="007F3CEA" w:rsidRPr="005A6D0A" w:rsidRDefault="007F3CEA" w:rsidP="00157FC1">
            <w:pPr>
              <w:tabs>
                <w:tab w:val="left" w:pos="1218"/>
              </w:tabs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700" w:type="dxa"/>
            <w:gridSpan w:val="12"/>
          </w:tcPr>
          <w:p w14:paraId="1DD81E0C" w14:textId="77777777" w:rsidR="007F3CEA" w:rsidRPr="005A6D0A" w:rsidRDefault="007F3CEA" w:rsidP="00157FC1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Tue 2-3PM Thu 11AM - 12</w:t>
            </w:r>
          </w:p>
        </w:tc>
      </w:tr>
      <w:tr w:rsidR="00FE605F" w:rsidRPr="005A6D0A" w14:paraId="44515976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78B58B28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865" w:type="dxa"/>
            <w:gridSpan w:val="37"/>
          </w:tcPr>
          <w:p w14:paraId="67A87304" w14:textId="77777777" w:rsidR="00FE605F" w:rsidRPr="005A6D0A" w:rsidRDefault="00FE605F" w:rsidP="00FE605F">
            <w:pPr>
              <w:tabs>
                <w:tab w:val="left" w:pos="1218"/>
                <w:tab w:val="left" w:pos="258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proofErr w:type="spellStart"/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Dr.</w:t>
            </w:r>
            <w:proofErr w:type="spellEnd"/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Branko Kasalo, </w:t>
            </w:r>
            <w:r w:rsidRPr="005A6D0A">
              <w:rPr>
                <w:rFonts w:ascii="Merriweather Light" w:hAnsi="Merriweather Light" w:cs="Times New Roman"/>
                <w:sz w:val="18"/>
                <w:lang w:val="it-IT"/>
              </w:rPr>
              <w:t>assistant professor</w:t>
            </w:r>
          </w:p>
        </w:tc>
      </w:tr>
      <w:tr w:rsidR="00FE605F" w:rsidRPr="005A6D0A" w14:paraId="01CB236A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7FE1EB1D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405" w:type="dxa"/>
            <w:gridSpan w:val="16"/>
          </w:tcPr>
          <w:p w14:paraId="1905C347" w14:textId="058501B0" w:rsidR="000C128F" w:rsidRPr="000C128F" w:rsidRDefault="007F566F" w:rsidP="00E128D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20"/>
                <w:szCs w:val="20"/>
              </w:rPr>
            </w:pPr>
            <w:hyperlink r:id="rId12" w:history="1">
              <w:r w:rsidR="000C128F" w:rsidRPr="000C128F">
                <w:rPr>
                  <w:rStyle w:val="Hyperlink"/>
                  <w:rFonts w:ascii="Merriweather" w:hAnsi="Merriweather"/>
                  <w:sz w:val="20"/>
                  <w:szCs w:val="20"/>
                </w:rPr>
                <w:t>bkasalo@unizd.hr</w:t>
              </w:r>
            </w:hyperlink>
          </w:p>
        </w:tc>
        <w:tc>
          <w:tcPr>
            <w:tcW w:w="1760" w:type="dxa"/>
            <w:gridSpan w:val="9"/>
            <w:shd w:val="clear" w:color="auto" w:fill="F2F2F2" w:themeFill="background1" w:themeFillShade="F2"/>
          </w:tcPr>
          <w:p w14:paraId="0D214B7F" w14:textId="77777777" w:rsidR="00FE605F" w:rsidRPr="005A6D0A" w:rsidRDefault="00FE605F" w:rsidP="00E128D4">
            <w:pPr>
              <w:tabs>
                <w:tab w:val="left" w:pos="1218"/>
              </w:tabs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700" w:type="dxa"/>
            <w:gridSpan w:val="12"/>
          </w:tcPr>
          <w:p w14:paraId="5159EC4D" w14:textId="77777777" w:rsidR="00FE605F" w:rsidRPr="005A6D0A" w:rsidRDefault="00FE605F" w:rsidP="00FE605F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Mon and Thu 10-11AM</w:t>
            </w:r>
          </w:p>
        </w:tc>
      </w:tr>
      <w:tr w:rsidR="00FE605F" w:rsidRPr="005A6D0A" w14:paraId="26BE7B66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691A3A06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865" w:type="dxa"/>
            <w:gridSpan w:val="37"/>
          </w:tcPr>
          <w:p w14:paraId="2E30F1F1" w14:textId="77777777" w:rsidR="00FE605F" w:rsidRPr="005A6D0A" w:rsidRDefault="009C5565" w:rsidP="009C5565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proofErr w:type="spellStart"/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Dr.</w:t>
            </w:r>
            <w:proofErr w:type="spellEnd"/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Antun Nekić, </w:t>
            </w:r>
            <w:r w:rsidRPr="005A6D0A">
              <w:rPr>
                <w:rFonts w:ascii="Merriweather Light" w:hAnsi="Merriweather Light" w:cs="Times New Roman"/>
                <w:sz w:val="18"/>
                <w:lang w:val="it-IT"/>
              </w:rPr>
              <w:t>assistant professor</w:t>
            </w:r>
          </w:p>
        </w:tc>
      </w:tr>
      <w:tr w:rsidR="00FE605F" w:rsidRPr="005A6D0A" w14:paraId="0347E293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7490D184" w14:textId="77777777" w:rsidR="00FE605F" w:rsidRPr="005A6D0A" w:rsidRDefault="00FE605F" w:rsidP="00E128D4">
            <w:pPr>
              <w:spacing w:before="20" w:after="20"/>
              <w:jc w:val="right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405" w:type="dxa"/>
            <w:gridSpan w:val="16"/>
          </w:tcPr>
          <w:p w14:paraId="72C2B082" w14:textId="67F59667" w:rsidR="000C128F" w:rsidRPr="000C128F" w:rsidRDefault="007F566F" w:rsidP="00E128D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20"/>
                <w:szCs w:val="20"/>
              </w:rPr>
            </w:pPr>
            <w:hyperlink r:id="rId13" w:history="1">
              <w:r w:rsidR="000C128F" w:rsidRPr="000C128F">
                <w:rPr>
                  <w:rStyle w:val="Hyperlink"/>
                  <w:rFonts w:ascii="Merriweather" w:hAnsi="Merriweather"/>
                  <w:sz w:val="20"/>
                  <w:szCs w:val="20"/>
                </w:rPr>
                <w:t>anekic@unizd.hr</w:t>
              </w:r>
            </w:hyperlink>
          </w:p>
        </w:tc>
        <w:tc>
          <w:tcPr>
            <w:tcW w:w="1760" w:type="dxa"/>
            <w:gridSpan w:val="9"/>
            <w:shd w:val="clear" w:color="auto" w:fill="F2F2F2" w:themeFill="background1" w:themeFillShade="F2"/>
          </w:tcPr>
          <w:p w14:paraId="31FA594C" w14:textId="77777777" w:rsidR="00FE605F" w:rsidRPr="005A6D0A" w:rsidRDefault="00FE605F" w:rsidP="00E128D4">
            <w:pPr>
              <w:tabs>
                <w:tab w:val="left" w:pos="1218"/>
              </w:tabs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700" w:type="dxa"/>
            <w:gridSpan w:val="12"/>
          </w:tcPr>
          <w:p w14:paraId="6C408C01" w14:textId="77777777" w:rsidR="00FE605F" w:rsidRPr="005A6D0A" w:rsidRDefault="009C5565" w:rsidP="009C5565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Wen and Fri 11AM - 12</w:t>
            </w:r>
          </w:p>
        </w:tc>
      </w:tr>
      <w:tr w:rsidR="00FE605F" w:rsidRPr="005A6D0A" w14:paraId="62FFFE69" w14:textId="77777777" w:rsidTr="002C6CA1">
        <w:trPr>
          <w:gridAfter w:val="1"/>
          <w:wAfter w:w="9" w:type="dxa"/>
        </w:trPr>
        <w:tc>
          <w:tcPr>
            <w:tcW w:w="9530" w:type="dxa"/>
            <w:gridSpan w:val="39"/>
            <w:shd w:val="clear" w:color="auto" w:fill="D9D9D9" w:themeFill="background1" w:themeFillShade="D9"/>
          </w:tcPr>
          <w:p w14:paraId="77CBDD91" w14:textId="77777777" w:rsidR="00FE605F" w:rsidRPr="005A6D0A" w:rsidRDefault="00FE605F" w:rsidP="0079745E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szCs w:val="18"/>
              </w:rPr>
            </w:pPr>
          </w:p>
        </w:tc>
      </w:tr>
      <w:tr w:rsidR="00FE605F" w:rsidRPr="005A6D0A" w14:paraId="246E1E41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1CFE0EF" w14:textId="77777777" w:rsidR="00FE605F" w:rsidRPr="005A6D0A" w:rsidRDefault="00FE605F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Teaching types</w:t>
            </w:r>
          </w:p>
        </w:tc>
        <w:tc>
          <w:tcPr>
            <w:tcW w:w="1861" w:type="dxa"/>
            <w:gridSpan w:val="8"/>
            <w:vAlign w:val="center"/>
          </w:tcPr>
          <w:p w14:paraId="6EF4DBAE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lectures</w:t>
            </w:r>
          </w:p>
        </w:tc>
        <w:tc>
          <w:tcPr>
            <w:tcW w:w="1498" w:type="dxa"/>
            <w:gridSpan w:val="7"/>
            <w:vAlign w:val="center"/>
          </w:tcPr>
          <w:p w14:paraId="429C9E84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seminars and workshops</w:t>
            </w:r>
          </w:p>
        </w:tc>
        <w:tc>
          <w:tcPr>
            <w:tcW w:w="1497" w:type="dxa"/>
            <w:gridSpan w:val="7"/>
            <w:vAlign w:val="center"/>
          </w:tcPr>
          <w:p w14:paraId="0D7A14FC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exercises</w:t>
            </w:r>
          </w:p>
        </w:tc>
        <w:tc>
          <w:tcPr>
            <w:tcW w:w="1497" w:type="dxa"/>
            <w:gridSpan w:val="11"/>
            <w:vAlign w:val="center"/>
          </w:tcPr>
          <w:p w14:paraId="1F83B1A9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e-learning</w:t>
            </w:r>
          </w:p>
        </w:tc>
        <w:tc>
          <w:tcPr>
            <w:tcW w:w="1512" w:type="dxa"/>
            <w:gridSpan w:val="4"/>
            <w:vAlign w:val="center"/>
          </w:tcPr>
          <w:p w14:paraId="1A435705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EF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field class</w:t>
            </w:r>
          </w:p>
        </w:tc>
      </w:tr>
      <w:tr w:rsidR="00FE605F" w:rsidRPr="005A6D0A" w14:paraId="69EB5F2D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2F8B695F" w14:textId="77777777" w:rsidR="00FE605F" w:rsidRPr="005A6D0A" w:rsidRDefault="00FE605F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1861" w:type="dxa"/>
            <w:gridSpan w:val="8"/>
            <w:vAlign w:val="center"/>
          </w:tcPr>
          <w:p w14:paraId="12563F7A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independent work</w:t>
            </w:r>
          </w:p>
        </w:tc>
        <w:tc>
          <w:tcPr>
            <w:tcW w:w="1498" w:type="dxa"/>
            <w:gridSpan w:val="7"/>
            <w:vAlign w:val="center"/>
          </w:tcPr>
          <w:p w14:paraId="11CDD642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multimedia and net</w:t>
            </w:r>
          </w:p>
        </w:tc>
        <w:tc>
          <w:tcPr>
            <w:tcW w:w="1497" w:type="dxa"/>
            <w:gridSpan w:val="7"/>
            <w:vAlign w:val="center"/>
          </w:tcPr>
          <w:p w14:paraId="20A15887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laboratory</w:t>
            </w:r>
          </w:p>
        </w:tc>
        <w:tc>
          <w:tcPr>
            <w:tcW w:w="1497" w:type="dxa"/>
            <w:gridSpan w:val="11"/>
            <w:vAlign w:val="center"/>
          </w:tcPr>
          <w:p w14:paraId="68CDEF82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mentoring </w:t>
            </w:r>
          </w:p>
        </w:tc>
        <w:tc>
          <w:tcPr>
            <w:tcW w:w="1512" w:type="dxa"/>
            <w:gridSpan w:val="4"/>
            <w:vAlign w:val="center"/>
          </w:tcPr>
          <w:p w14:paraId="3F6A3E78" w14:textId="77777777" w:rsidR="00FE605F" w:rsidRPr="005A6D0A" w:rsidRDefault="007F566F" w:rsidP="002F207C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FCA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other</w:t>
            </w:r>
          </w:p>
        </w:tc>
      </w:tr>
      <w:tr w:rsidR="00FE605F" w:rsidRPr="005A6D0A" w14:paraId="63E7A903" w14:textId="77777777" w:rsidTr="00BB49BA">
        <w:trPr>
          <w:gridAfter w:val="1"/>
          <w:wAfter w:w="9" w:type="dxa"/>
        </w:trPr>
        <w:tc>
          <w:tcPr>
            <w:tcW w:w="2782" w:type="dxa"/>
            <w:gridSpan w:val="5"/>
            <w:shd w:val="clear" w:color="auto" w:fill="F2F2F2" w:themeFill="background1" w:themeFillShade="F2"/>
          </w:tcPr>
          <w:p w14:paraId="05AF3C89" w14:textId="77777777" w:rsidR="00FE605F" w:rsidRPr="005A6D0A" w:rsidRDefault="00FE605F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lastRenderedPageBreak/>
              <w:t>Learning outcomes of the course</w:t>
            </w:r>
          </w:p>
        </w:tc>
        <w:tc>
          <w:tcPr>
            <w:tcW w:w="6748" w:type="dxa"/>
            <w:gridSpan w:val="34"/>
            <w:vAlign w:val="center"/>
          </w:tcPr>
          <w:p w14:paraId="2EB1F890" w14:textId="77777777" w:rsidR="00FE605F" w:rsidRPr="005A6D0A" w:rsidRDefault="00FE605F" w:rsidP="00C114B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After the successful completion of the course the students will be able to:</w:t>
            </w:r>
          </w:p>
          <w:p w14:paraId="7C9966E7" w14:textId="77777777" w:rsidR="00787641" w:rsidRPr="005A6D0A" w:rsidRDefault="00787641" w:rsidP="00787641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1. define and describe various prehistoric cultures, societies and peoples on Croatian territory,</w:t>
            </w:r>
          </w:p>
          <w:p w14:paraId="240DADC5" w14:textId="77777777" w:rsidR="00787641" w:rsidRPr="005A6D0A" w:rsidRDefault="00787641" w:rsidP="00787641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2. define and describe various historic periods in history of Croatia, </w:t>
            </w:r>
          </w:p>
          <w:p w14:paraId="3BD0302A" w14:textId="77777777" w:rsidR="00787641" w:rsidRPr="005A6D0A" w:rsidRDefault="00787641" w:rsidP="00787641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3. compare and contrast the most important historical processes pertaining to the Croatian territory,</w:t>
            </w:r>
          </w:p>
          <w:p w14:paraId="3CD48DAE" w14:textId="77777777" w:rsidR="00787641" w:rsidRPr="005A6D0A" w:rsidRDefault="00787641" w:rsidP="00787641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4. understand political</w:t>
            </w:r>
            <w:r w:rsidR="00124C78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and cultural</w:t>
            </w: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processes </w:t>
            </w:r>
            <w:r w:rsidR="00124C78" w:rsidRPr="005A6D0A">
              <w:rPr>
                <w:rFonts w:ascii="Merriweather Light" w:hAnsi="Merriweather Light" w:cs="Times New Roman"/>
                <w:sz w:val="18"/>
                <w:lang w:val="en-GB"/>
              </w:rPr>
              <w:t>leading to the nation formation</w:t>
            </w: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,</w:t>
            </w:r>
          </w:p>
          <w:p w14:paraId="414C1E8F" w14:textId="77777777" w:rsidR="00124C78" w:rsidRPr="005A6D0A" w:rsidRDefault="00787641" w:rsidP="00124C78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5. </w:t>
            </w:r>
            <w:r w:rsidR="00124C78" w:rsidRPr="005A6D0A">
              <w:rPr>
                <w:rFonts w:ascii="Merriweather Light" w:hAnsi="Merriweather Light" w:cs="Times New Roman"/>
                <w:sz w:val="18"/>
                <w:lang w:val="en-GB"/>
              </w:rPr>
              <w:t>identify and evaluate the most important figures in Croatian history,</w:t>
            </w:r>
          </w:p>
          <w:p w14:paraId="203D1F54" w14:textId="77777777" w:rsidR="00FE605F" w:rsidRPr="005A6D0A" w:rsidRDefault="00787641" w:rsidP="00124C78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6. understand </w:t>
            </w:r>
            <w:r w:rsidR="00124C78" w:rsidRPr="005A6D0A">
              <w:rPr>
                <w:rFonts w:ascii="Merriweather Light" w:hAnsi="Merriweather Light" w:cs="Times New Roman"/>
                <w:sz w:val="18"/>
                <w:lang w:val="en-GB"/>
              </w:rPr>
              <w:t>cultural and political development in the context of borderland experience</w:t>
            </w: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. </w:t>
            </w:r>
          </w:p>
        </w:tc>
      </w:tr>
      <w:tr w:rsidR="00FE605F" w:rsidRPr="005A6D0A" w14:paraId="35FCC090" w14:textId="77777777" w:rsidTr="00BB49BA">
        <w:trPr>
          <w:gridAfter w:val="1"/>
          <w:wAfter w:w="9" w:type="dxa"/>
        </w:trPr>
        <w:tc>
          <w:tcPr>
            <w:tcW w:w="2782" w:type="dxa"/>
            <w:gridSpan w:val="5"/>
            <w:shd w:val="clear" w:color="auto" w:fill="F2F2F2" w:themeFill="background1" w:themeFillShade="F2"/>
          </w:tcPr>
          <w:p w14:paraId="494BCD94" w14:textId="77777777" w:rsidR="00FE605F" w:rsidRPr="005A6D0A" w:rsidRDefault="00FE605F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 xml:space="preserve">Learning outcomes of the programme to which the course is contributing </w:t>
            </w:r>
          </w:p>
        </w:tc>
        <w:tc>
          <w:tcPr>
            <w:tcW w:w="6748" w:type="dxa"/>
            <w:gridSpan w:val="34"/>
            <w:vAlign w:val="center"/>
          </w:tcPr>
          <w:p w14:paraId="7C1A7968" w14:textId="77777777" w:rsidR="00FE605F" w:rsidRPr="005A6D0A" w:rsidRDefault="00FE605F" w:rsidP="006D70D8">
            <w:pPr>
              <w:pStyle w:val="Default"/>
              <w:rPr>
                <w:rFonts w:ascii="Merriweather Light" w:hAnsi="Merriweather Light"/>
                <w:noProof/>
                <w:sz w:val="18"/>
                <w:szCs w:val="18"/>
              </w:rPr>
            </w:pP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>After the successful completion of the program</w:t>
            </w:r>
            <w:r w:rsidR="00787641" w:rsidRPr="005A6D0A">
              <w:rPr>
                <w:rFonts w:ascii="Merriweather Light" w:hAnsi="Merriweather Light"/>
                <w:noProof/>
                <w:sz w:val="18"/>
                <w:szCs w:val="18"/>
              </w:rPr>
              <w:t>me</w:t>
            </w: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the students will be able to:</w:t>
            </w:r>
          </w:p>
          <w:p w14:paraId="1EB09866" w14:textId="77777777" w:rsidR="00FE605F" w:rsidRPr="005A6D0A" w:rsidRDefault="00B0634F" w:rsidP="006D70D8">
            <w:pPr>
              <w:pStyle w:val="Default"/>
              <w:rPr>
                <w:rFonts w:ascii="Merriweather Light" w:hAnsi="Merriweather Light"/>
                <w:noProof/>
                <w:sz w:val="18"/>
                <w:szCs w:val="18"/>
              </w:rPr>
            </w:pP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>1.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</w:t>
            </w:r>
            <w:r w:rsidR="00AE0294" w:rsidRPr="005A6D0A">
              <w:rPr>
                <w:rFonts w:ascii="Merriweather Light" w:hAnsi="Merriweather Light"/>
                <w:noProof/>
                <w:sz w:val="18"/>
                <w:szCs w:val="18"/>
              </w:rPr>
              <w:t>define</w:t>
            </w: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and</w:t>
            </w:r>
            <w:r w:rsidR="00AE0294"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>describe historical</w:t>
            </w:r>
            <w:r w:rsidR="00AE0294"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>processes characteristic for distinct historical periods and</w:t>
            </w: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differenciate specificities of certain historical periods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>,</w:t>
            </w:r>
          </w:p>
          <w:p w14:paraId="77D34037" w14:textId="77777777" w:rsidR="00B0634F" w:rsidRPr="005A6D0A" w:rsidRDefault="00B0634F" w:rsidP="006D70D8">
            <w:pPr>
              <w:pStyle w:val="Default"/>
              <w:rPr>
                <w:rFonts w:ascii="Merriweather Light" w:hAnsi="Merriweather Light"/>
                <w:noProof/>
                <w:sz w:val="18"/>
                <w:szCs w:val="18"/>
              </w:rPr>
            </w:pP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>2. remember the most important data regarding history, both ancient and more recent,</w:t>
            </w:r>
          </w:p>
          <w:p w14:paraId="7E5382E6" w14:textId="77777777" w:rsidR="00B0634F" w:rsidRPr="005A6D0A" w:rsidRDefault="00B0634F" w:rsidP="00946EEB">
            <w:pPr>
              <w:pStyle w:val="Default"/>
              <w:rPr>
                <w:rFonts w:ascii="Merriweather Light" w:hAnsi="Merriweather Light"/>
                <w:noProof/>
                <w:sz w:val="18"/>
                <w:szCs w:val="18"/>
              </w:rPr>
            </w:pP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3. interpret relevant historical sources, </w:t>
            </w:r>
          </w:p>
          <w:p w14:paraId="64D1BABF" w14:textId="77777777" w:rsidR="00FE605F" w:rsidRPr="005A6D0A" w:rsidRDefault="00B0634F" w:rsidP="00B0634F">
            <w:pPr>
              <w:pStyle w:val="Default"/>
              <w:rPr>
                <w:rFonts w:ascii="Merriweather Light" w:hAnsi="Merriweather Light"/>
                <w:noProof/>
                <w:sz w:val="18"/>
                <w:szCs w:val="18"/>
              </w:rPr>
            </w:pP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>4. explain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causal relationships between historical events and historical processes,</w:t>
            </w:r>
          </w:p>
          <w:p w14:paraId="5CF621B4" w14:textId="77777777" w:rsidR="00B0634F" w:rsidRPr="005A6D0A" w:rsidRDefault="00B0634F" w:rsidP="00B0634F">
            <w:pPr>
              <w:pStyle w:val="Default"/>
              <w:rPr>
                <w:rFonts w:ascii="Merriweather Light" w:hAnsi="Merriweather Light"/>
                <w:sz w:val="18"/>
                <w:szCs w:val="18"/>
              </w:rPr>
            </w:pP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5. </w:t>
            </w:r>
            <w:r w:rsidRPr="005A6D0A">
              <w:rPr>
                <w:rFonts w:ascii="Merriweather Light" w:hAnsi="Merriweather Light"/>
                <w:sz w:val="18"/>
                <w:szCs w:val="18"/>
              </w:rPr>
              <w:t xml:space="preserve">form their own opinions and conclusions on historical events and process as well as differentiate important facts from less important data, </w:t>
            </w:r>
          </w:p>
          <w:p w14:paraId="6977DAF1" w14:textId="77777777" w:rsidR="00B0634F" w:rsidRPr="005A6D0A" w:rsidRDefault="00B0634F" w:rsidP="00B0634F">
            <w:pPr>
              <w:pStyle w:val="Default"/>
              <w:rPr>
                <w:rFonts w:ascii="Merriweather Light" w:hAnsi="Merriweather Light"/>
                <w:noProof/>
                <w:sz w:val="18"/>
                <w:szCs w:val="18"/>
              </w:rPr>
            </w:pPr>
            <w:r w:rsidRPr="005A6D0A">
              <w:rPr>
                <w:rFonts w:ascii="Merriweather Light" w:hAnsi="Merriweather Light"/>
                <w:sz w:val="18"/>
                <w:szCs w:val="18"/>
              </w:rPr>
              <w:t>6. c</w:t>
            </w: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>ompare and contrast historical processes and key figures from different periods and geographical areas,</w:t>
            </w:r>
          </w:p>
          <w:p w14:paraId="3617469D" w14:textId="77777777" w:rsidR="00E14EFF" w:rsidRPr="005A6D0A" w:rsidRDefault="00B0634F" w:rsidP="00760919">
            <w:pPr>
              <w:pStyle w:val="Default"/>
              <w:rPr>
                <w:rFonts w:ascii="Merriweather Light" w:hAnsi="Merriweather Light"/>
                <w:noProof/>
                <w:sz w:val="22"/>
                <w:szCs w:val="22"/>
              </w:rPr>
            </w:pP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7. 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critically interpret and evaluate </w:t>
            </w: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>historical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sources and literature</w:t>
            </w: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, especially according to 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their </w:t>
            </w:r>
            <w:r w:rsidRPr="005A6D0A">
              <w:rPr>
                <w:rFonts w:ascii="Merriweather Light" w:hAnsi="Merriweather Light"/>
                <w:noProof/>
                <w:sz w:val="18"/>
                <w:szCs w:val="18"/>
              </w:rPr>
              <w:t>reliability</w:t>
            </w:r>
            <w:r w:rsidR="00FE605F" w:rsidRPr="005A6D0A">
              <w:rPr>
                <w:rFonts w:ascii="Merriweather Light" w:hAnsi="Merriweather Light"/>
                <w:noProof/>
                <w:sz w:val="18"/>
                <w:szCs w:val="18"/>
              </w:rPr>
              <w:t xml:space="preserve"> and perspective</w:t>
            </w:r>
            <w:r w:rsidR="00E14EFF" w:rsidRPr="005A6D0A"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</w:tr>
      <w:tr w:rsidR="00FE605F" w:rsidRPr="005A6D0A" w14:paraId="50A559A2" w14:textId="77777777" w:rsidTr="002C6CA1">
        <w:trPr>
          <w:gridAfter w:val="1"/>
          <w:wAfter w:w="9" w:type="dxa"/>
        </w:trPr>
        <w:tc>
          <w:tcPr>
            <w:tcW w:w="9530" w:type="dxa"/>
            <w:gridSpan w:val="39"/>
            <w:shd w:val="clear" w:color="auto" w:fill="D9D9D9" w:themeFill="background1" w:themeFillShade="D9"/>
          </w:tcPr>
          <w:p w14:paraId="3C7431C0" w14:textId="77777777" w:rsidR="00FE605F" w:rsidRPr="005A6D0A" w:rsidRDefault="00FE605F" w:rsidP="0079745E">
            <w:pPr>
              <w:spacing w:before="20" w:after="20"/>
              <w:rPr>
                <w:rFonts w:ascii="Merriweather Light" w:hAnsi="Merriweather Light" w:cs="Times New Roman"/>
                <w:sz w:val="18"/>
                <w:szCs w:val="20"/>
                <w:lang w:val="en-GB"/>
              </w:rPr>
            </w:pPr>
          </w:p>
        </w:tc>
      </w:tr>
      <w:tr w:rsidR="00FE605F" w:rsidRPr="005A6D0A" w14:paraId="2C967CE7" w14:textId="77777777" w:rsidTr="00BB49BA">
        <w:trPr>
          <w:gridAfter w:val="1"/>
          <w:wAfter w:w="9" w:type="dxa"/>
          <w:trHeight w:val="190"/>
        </w:trPr>
        <w:tc>
          <w:tcPr>
            <w:tcW w:w="166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26C6F3E" w14:textId="77777777" w:rsidR="00FE605F" w:rsidRPr="005A6D0A" w:rsidRDefault="00FE605F" w:rsidP="00C02454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Ways of evaluating students' activity</w:t>
            </w:r>
          </w:p>
        </w:tc>
        <w:tc>
          <w:tcPr>
            <w:tcW w:w="1861" w:type="dxa"/>
            <w:gridSpan w:val="8"/>
            <w:vAlign w:val="center"/>
          </w:tcPr>
          <w:p w14:paraId="44F4A418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attending classes</w:t>
            </w:r>
          </w:p>
        </w:tc>
        <w:tc>
          <w:tcPr>
            <w:tcW w:w="1498" w:type="dxa"/>
            <w:gridSpan w:val="7"/>
            <w:vAlign w:val="center"/>
          </w:tcPr>
          <w:p w14:paraId="78480F3F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preparation for classes</w:t>
            </w:r>
          </w:p>
        </w:tc>
        <w:tc>
          <w:tcPr>
            <w:tcW w:w="1497" w:type="dxa"/>
            <w:gridSpan w:val="7"/>
            <w:vAlign w:val="center"/>
          </w:tcPr>
          <w:p w14:paraId="7F7DDE9E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home work</w:t>
            </w:r>
          </w:p>
        </w:tc>
        <w:tc>
          <w:tcPr>
            <w:tcW w:w="1497" w:type="dxa"/>
            <w:gridSpan w:val="11"/>
            <w:vAlign w:val="center"/>
          </w:tcPr>
          <w:p w14:paraId="1AD2419F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continuous evaluation</w:t>
            </w:r>
          </w:p>
        </w:tc>
        <w:tc>
          <w:tcPr>
            <w:tcW w:w="1512" w:type="dxa"/>
            <w:gridSpan w:val="4"/>
            <w:vAlign w:val="center"/>
          </w:tcPr>
          <w:p w14:paraId="0F2C2BBC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research</w:t>
            </w:r>
          </w:p>
        </w:tc>
      </w:tr>
      <w:tr w:rsidR="00FE605F" w:rsidRPr="005A6D0A" w14:paraId="37DFCA92" w14:textId="77777777" w:rsidTr="00BB49BA">
        <w:trPr>
          <w:gridAfter w:val="1"/>
          <w:wAfter w:w="9" w:type="dxa"/>
          <w:trHeight w:val="190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244266D6" w14:textId="77777777" w:rsidR="00FE605F" w:rsidRPr="005A6D0A" w:rsidRDefault="00FE605F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1861" w:type="dxa"/>
            <w:gridSpan w:val="8"/>
            <w:vAlign w:val="center"/>
          </w:tcPr>
          <w:p w14:paraId="226FED12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practical work</w:t>
            </w:r>
          </w:p>
        </w:tc>
        <w:tc>
          <w:tcPr>
            <w:tcW w:w="1498" w:type="dxa"/>
            <w:gridSpan w:val="7"/>
            <w:vAlign w:val="center"/>
          </w:tcPr>
          <w:p w14:paraId="3AE69066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</w:t>
            </w:r>
            <w:r w:rsidR="00FE605F" w:rsidRPr="005A6D0A">
              <w:rPr>
                <w:rFonts w:ascii="Merriweather Light" w:hAnsi="Merriweather Light" w:cs="Times New Roman"/>
                <w:sz w:val="16"/>
                <w:lang w:val="en-GB"/>
              </w:rPr>
              <w:t>experiments</w:t>
            </w:r>
          </w:p>
        </w:tc>
        <w:tc>
          <w:tcPr>
            <w:tcW w:w="1497" w:type="dxa"/>
            <w:gridSpan w:val="7"/>
            <w:vAlign w:val="center"/>
          </w:tcPr>
          <w:p w14:paraId="3A3E701F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97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presentation</w:t>
            </w:r>
          </w:p>
        </w:tc>
        <w:tc>
          <w:tcPr>
            <w:tcW w:w="1497" w:type="dxa"/>
            <w:gridSpan w:val="11"/>
            <w:vAlign w:val="center"/>
          </w:tcPr>
          <w:p w14:paraId="086031A7" w14:textId="77777777" w:rsidR="00FE605F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project</w:t>
            </w:r>
          </w:p>
        </w:tc>
        <w:tc>
          <w:tcPr>
            <w:tcW w:w="1512" w:type="dxa"/>
            <w:gridSpan w:val="4"/>
            <w:vAlign w:val="center"/>
          </w:tcPr>
          <w:p w14:paraId="6D5D85B8" w14:textId="77777777" w:rsidR="00FE605F" w:rsidRPr="005A6D0A" w:rsidRDefault="007F566F" w:rsidP="0079745E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2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seminar</w:t>
            </w:r>
          </w:p>
        </w:tc>
      </w:tr>
      <w:tr w:rsidR="002C6CA1" w:rsidRPr="005A6D0A" w14:paraId="535385B3" w14:textId="77777777" w:rsidTr="00BB49BA">
        <w:trPr>
          <w:trHeight w:val="190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1F6B1E14" w14:textId="77777777" w:rsidR="002C6CA1" w:rsidRPr="005A6D0A" w:rsidRDefault="002C6CA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1861" w:type="dxa"/>
            <w:gridSpan w:val="8"/>
            <w:vAlign w:val="center"/>
          </w:tcPr>
          <w:p w14:paraId="6B6DB357" w14:textId="77777777" w:rsidR="002C6CA1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mid-term exam(s)</w:t>
            </w:r>
          </w:p>
        </w:tc>
        <w:tc>
          <w:tcPr>
            <w:tcW w:w="1498" w:type="dxa"/>
            <w:gridSpan w:val="7"/>
            <w:vAlign w:val="center"/>
          </w:tcPr>
          <w:p w14:paraId="6A85F4C8" w14:textId="77777777" w:rsidR="002C6CA1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written exam</w:t>
            </w:r>
          </w:p>
        </w:tc>
        <w:tc>
          <w:tcPr>
            <w:tcW w:w="1984" w:type="dxa"/>
            <w:gridSpan w:val="12"/>
            <w:vAlign w:val="center"/>
          </w:tcPr>
          <w:p w14:paraId="300C9751" w14:textId="77777777" w:rsidR="002C6CA1" w:rsidRPr="005A6D0A" w:rsidRDefault="007F566F" w:rsidP="00D752C3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oral exam</w:t>
            </w:r>
          </w:p>
        </w:tc>
        <w:tc>
          <w:tcPr>
            <w:tcW w:w="2531" w:type="dxa"/>
            <w:gridSpan w:val="11"/>
            <w:vAlign w:val="center"/>
          </w:tcPr>
          <w:p w14:paraId="6E15BF29" w14:textId="77777777" w:rsidR="002C6CA1" w:rsidRPr="005A6D0A" w:rsidRDefault="007F566F" w:rsidP="002C6CA1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118754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2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other: essays</w:t>
            </w:r>
            <w:r w:rsidR="00815E82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(if necessary)</w:t>
            </w:r>
          </w:p>
        </w:tc>
      </w:tr>
      <w:tr w:rsidR="00FE605F" w:rsidRPr="005A6D0A" w14:paraId="1679CF7E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463CFCF8" w14:textId="77777777" w:rsidR="00FE605F" w:rsidRPr="005A6D0A" w:rsidRDefault="00FE605F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Prerequisites for taking the exam</w:t>
            </w:r>
          </w:p>
        </w:tc>
        <w:tc>
          <w:tcPr>
            <w:tcW w:w="7865" w:type="dxa"/>
            <w:gridSpan w:val="37"/>
            <w:vAlign w:val="center"/>
          </w:tcPr>
          <w:p w14:paraId="2CC180E0" w14:textId="77777777" w:rsidR="00FE605F" w:rsidRPr="005A6D0A" w:rsidRDefault="00815E82" w:rsidP="00815E82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i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A</w:t>
            </w:r>
            <w:r w:rsidR="00085FCA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regular class attendance </w:t>
            </w:r>
            <w:r w:rsidR="0058104C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is expected from students </w:t>
            </w:r>
            <w:r w:rsidR="00085FCA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and successfully 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completed presentation that is a result of student's own research</w:t>
            </w:r>
            <w:r w:rsidR="00085FCA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. </w:t>
            </w:r>
          </w:p>
        </w:tc>
      </w:tr>
      <w:tr w:rsidR="00FE605F" w:rsidRPr="005A6D0A" w14:paraId="678C678A" w14:textId="77777777" w:rsidTr="00BB49BA">
        <w:tc>
          <w:tcPr>
            <w:tcW w:w="1665" w:type="dxa"/>
            <w:gridSpan w:val="2"/>
            <w:shd w:val="clear" w:color="auto" w:fill="F2F2F2" w:themeFill="background1" w:themeFillShade="F2"/>
          </w:tcPr>
          <w:p w14:paraId="5A19DE80" w14:textId="77777777" w:rsidR="00FE605F" w:rsidRPr="005A6D0A" w:rsidRDefault="00FE605F" w:rsidP="00E33935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Examination terms</w:t>
            </w:r>
          </w:p>
        </w:tc>
        <w:tc>
          <w:tcPr>
            <w:tcW w:w="2727" w:type="dxa"/>
            <w:gridSpan w:val="14"/>
          </w:tcPr>
          <w:p w14:paraId="2D79CA83" w14:textId="77777777" w:rsidR="00FE605F" w:rsidRPr="005A6D0A" w:rsidRDefault="007F566F" w:rsidP="006D70D8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winter examination term</w:t>
            </w:r>
          </w:p>
        </w:tc>
        <w:tc>
          <w:tcPr>
            <w:tcW w:w="2471" w:type="dxa"/>
            <w:gridSpan w:val="12"/>
          </w:tcPr>
          <w:p w14:paraId="345AE0A7" w14:textId="77777777" w:rsidR="00FE605F" w:rsidRPr="005A6D0A" w:rsidRDefault="007F566F" w:rsidP="006D70D8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summer examination term</w:t>
            </w:r>
          </w:p>
        </w:tc>
        <w:tc>
          <w:tcPr>
            <w:tcW w:w="2676" w:type="dxa"/>
            <w:gridSpan w:val="12"/>
          </w:tcPr>
          <w:p w14:paraId="1D693113" w14:textId="77777777" w:rsidR="00FE605F" w:rsidRPr="005A6D0A" w:rsidRDefault="007F566F" w:rsidP="006D70D8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autumn examination term</w:t>
            </w:r>
          </w:p>
        </w:tc>
      </w:tr>
      <w:tr w:rsidR="00FE605F" w:rsidRPr="005A6D0A" w14:paraId="205B5520" w14:textId="77777777" w:rsidTr="00BB49BA">
        <w:tc>
          <w:tcPr>
            <w:tcW w:w="1665" w:type="dxa"/>
            <w:gridSpan w:val="2"/>
            <w:shd w:val="clear" w:color="auto" w:fill="F2F2F2" w:themeFill="background1" w:themeFillShade="F2"/>
          </w:tcPr>
          <w:p w14:paraId="106CF779" w14:textId="77777777" w:rsidR="00FE605F" w:rsidRPr="005A6D0A" w:rsidRDefault="00FE605F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Examination dates</w:t>
            </w:r>
          </w:p>
        </w:tc>
        <w:tc>
          <w:tcPr>
            <w:tcW w:w="2727" w:type="dxa"/>
            <w:gridSpan w:val="14"/>
            <w:vAlign w:val="center"/>
          </w:tcPr>
          <w:p w14:paraId="3F5E845F" w14:textId="77777777" w:rsidR="00FE605F" w:rsidRPr="005A6D0A" w:rsidRDefault="00FE605F" w:rsidP="00A549EF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2808F8D2" w14:textId="1CC32D47" w:rsidR="00FE605F" w:rsidRPr="005A6D0A" w:rsidRDefault="00FE605F" w:rsidP="007F3CEA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</w:p>
        </w:tc>
        <w:tc>
          <w:tcPr>
            <w:tcW w:w="2676" w:type="dxa"/>
            <w:gridSpan w:val="12"/>
            <w:vAlign w:val="center"/>
          </w:tcPr>
          <w:p w14:paraId="7B3E4EA0" w14:textId="06ACC81A" w:rsidR="00FE605F" w:rsidRPr="00060370" w:rsidRDefault="00FE605F" w:rsidP="007F3CEA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highlight w:val="yellow"/>
                <w:lang w:val="en-GB"/>
              </w:rPr>
            </w:pPr>
          </w:p>
        </w:tc>
      </w:tr>
      <w:tr w:rsidR="003E50B1" w:rsidRPr="005A6D0A" w14:paraId="354DE442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6ADD6FFC" w14:textId="77777777" w:rsidR="003E50B1" w:rsidRPr="005A6D0A" w:rsidRDefault="003E50B1" w:rsidP="005215DA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Brief course description</w:t>
            </w:r>
          </w:p>
        </w:tc>
        <w:tc>
          <w:tcPr>
            <w:tcW w:w="7865" w:type="dxa"/>
            <w:gridSpan w:val="37"/>
          </w:tcPr>
          <w:p w14:paraId="4C1DFBB3" w14:textId="77777777" w:rsidR="003E50B1" w:rsidRPr="005A6D0A" w:rsidRDefault="003E50B1" w:rsidP="003E50B1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highlight w:val="yellow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The aim of this course is to give visiting students the opportunity to gain basic insights into Croatian history.</w:t>
            </w:r>
          </w:p>
        </w:tc>
      </w:tr>
      <w:tr w:rsidR="003E50B1" w:rsidRPr="005A6D0A" w14:paraId="7CE0E9CD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083A96D7" w14:textId="77777777" w:rsidR="003E50B1" w:rsidRPr="005A6D0A" w:rsidRDefault="003E50B1" w:rsidP="00DC0811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Course content (subject-matters)</w:t>
            </w:r>
          </w:p>
        </w:tc>
        <w:tc>
          <w:tcPr>
            <w:tcW w:w="7865" w:type="dxa"/>
            <w:gridSpan w:val="37"/>
          </w:tcPr>
          <w:p w14:paraId="4AB967EF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1st week (</w:t>
            </w:r>
            <w:r w:rsid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February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</w:t>
            </w:r>
            <w:r w:rsidR="004A4033">
              <w:rPr>
                <w:rFonts w:ascii="Merriweather Light" w:eastAsia="MS Gothic" w:hAnsi="Merriweather Light" w:cs="Times New Roman"/>
                <w:sz w:val="18"/>
                <w:lang w:val="en-GB"/>
              </w:rPr>
              <w:t>2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7th): Introduction to the course; First societies at Croatian territory</w:t>
            </w:r>
          </w:p>
          <w:p w14:paraId="45D50DA5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2nd week (March </w:t>
            </w:r>
            <w:r w:rsidR="004A4033">
              <w:rPr>
                <w:rFonts w:ascii="Merriweather Light" w:eastAsia="MS Gothic" w:hAnsi="Merriweather Light" w:cs="Times New Roman"/>
                <w:sz w:val="18"/>
                <w:lang w:val="en-GB"/>
              </w:rPr>
              <w:t>6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th): From prehistory to </w:t>
            </w:r>
            <w:proofErr w:type="gramStart"/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Ancient</w:t>
            </w:r>
            <w:proofErr w:type="gramEnd"/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history</w:t>
            </w:r>
          </w:p>
          <w:p w14:paraId="19795A45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3rd week (March </w:t>
            </w:r>
            <w:r w:rsidR="004A4033">
              <w:rPr>
                <w:rFonts w:ascii="Merriweather Light" w:eastAsia="MS Gothic" w:hAnsi="Merriweather Light" w:cs="Times New Roman"/>
                <w:sz w:val="18"/>
                <w:lang w:val="en-GB"/>
              </w:rPr>
              <w:t>13th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): From Pax Romana to the Great Migration Period</w:t>
            </w:r>
          </w:p>
          <w:p w14:paraId="5F88CF0C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4th week (March 2</w:t>
            </w:r>
            <w:r w:rsidR="004A4033">
              <w:rPr>
                <w:rFonts w:ascii="Merriweather Light" w:eastAsia="MS Gothic" w:hAnsi="Merriweather Light" w:cs="Times New Roman"/>
                <w:sz w:val="18"/>
                <w:lang w:val="en-GB"/>
              </w:rPr>
              <w:t>0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th): From Dukedom to Kingdom (8th-12th Century)</w:t>
            </w:r>
          </w:p>
          <w:p w14:paraId="1E7BF23A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5th week (</w:t>
            </w:r>
            <w:r w:rsidR="004A4033" w:rsidRPr="004A4033">
              <w:rPr>
                <w:rFonts w:ascii="Merriweather Light" w:eastAsia="MS Gothic" w:hAnsi="Merriweather Light" w:cs="Times New Roman"/>
                <w:sz w:val="18"/>
                <w:lang w:val="en-GB"/>
              </w:rPr>
              <w:t>March 2</w:t>
            </w:r>
            <w:r w:rsidR="004A4033">
              <w:rPr>
                <w:rFonts w:ascii="Merriweather Light" w:eastAsia="MS Gothic" w:hAnsi="Merriweather Light" w:cs="Times New Roman"/>
                <w:sz w:val="18"/>
                <w:lang w:val="en-GB"/>
              </w:rPr>
              <w:t>7</w:t>
            </w:r>
            <w:r w:rsidR="004A4033" w:rsidRPr="004A4033">
              <w:rPr>
                <w:rFonts w:ascii="Merriweather Light" w:eastAsia="MS Gothic" w:hAnsi="Merriweather Light" w:cs="Times New Roman"/>
                <w:sz w:val="18"/>
                <w:lang w:val="en-GB"/>
              </w:rPr>
              <w:t>th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): Croatian Kingdom as a part of Realm of St. Stephen (12th-15th Century)</w:t>
            </w:r>
          </w:p>
          <w:p w14:paraId="14086002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6th week (April </w:t>
            </w:r>
            <w:r w:rsid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3rd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): Becoming Imperial Borderland (16th Century)</w:t>
            </w:r>
          </w:p>
          <w:p w14:paraId="2057E467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7th week (April </w:t>
            </w:r>
            <w:r w:rsid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17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th): Borderland Continued: Croatian Territory in Early Modernity</w:t>
            </w:r>
          </w:p>
          <w:p w14:paraId="66E1F551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8th week (</w:t>
            </w:r>
            <w:r w:rsidR="00DE61C2" w:rsidRP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April </w:t>
            </w:r>
            <w:r w:rsid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24</w:t>
            </w:r>
            <w:r w:rsidR="00DE61C2" w:rsidRP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th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): Emergence of Nation: 19th Century Politics and Ideology</w:t>
            </w:r>
          </w:p>
          <w:p w14:paraId="058D2395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9th week (May </w:t>
            </w:r>
            <w:r w:rsid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8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th): Croatian Society in Transition to Modernity</w:t>
            </w:r>
          </w:p>
          <w:p w14:paraId="129AC7F9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10th week (May 1</w:t>
            </w:r>
            <w:r w:rsid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5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th): Croatia and Kingdom of Yugoslavia</w:t>
            </w:r>
          </w:p>
          <w:p w14:paraId="56F661D0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lastRenderedPageBreak/>
              <w:t>11th week (May 2</w:t>
            </w:r>
            <w:r w:rsid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2nd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): Croatian experience of World War II and Socialist Yugoslavia </w:t>
            </w:r>
          </w:p>
          <w:p w14:paraId="451357E8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12th week (</w:t>
            </w:r>
            <w:r w:rsidR="00DE61C2" w:rsidRP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May 2</w:t>
            </w:r>
            <w:r w:rsid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9th</w:t>
            </w: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): Creation and development of the Republic of Croatia</w:t>
            </w:r>
          </w:p>
          <w:p w14:paraId="122035FA" w14:textId="77777777" w:rsidR="00060370" w:rsidRPr="00060370" w:rsidRDefault="00060370" w:rsidP="0006037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13th &amp; 14th week – (date(s) to be determined later): students' presentations</w:t>
            </w:r>
          </w:p>
          <w:p w14:paraId="78C3715D" w14:textId="77777777" w:rsidR="003E50B1" w:rsidRPr="00060370" w:rsidRDefault="00DE61C2" w:rsidP="00B633CF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15th week – </w:t>
            </w:r>
            <w:r w:rsidR="00060370" w:rsidRP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Field trip (date to be determined later)</w:t>
            </w:r>
          </w:p>
        </w:tc>
      </w:tr>
      <w:tr w:rsidR="003E50B1" w:rsidRPr="005A6D0A" w14:paraId="3DC517E8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5B7668C3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lastRenderedPageBreak/>
              <w:t>Reading</w:t>
            </w:r>
          </w:p>
        </w:tc>
        <w:tc>
          <w:tcPr>
            <w:tcW w:w="7865" w:type="dxa"/>
            <w:gridSpan w:val="37"/>
          </w:tcPr>
          <w:p w14:paraId="689DF474" w14:textId="77777777" w:rsidR="003E50B1" w:rsidRPr="005A6D0A" w:rsidRDefault="003E50B1" w:rsidP="00AF70DA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Lectures and hand-outs (will be provided by lecturer</w:t>
            </w:r>
            <w:r w:rsidR="00AF70DA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s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).</w:t>
            </w:r>
          </w:p>
          <w:p w14:paraId="0EB7EA66" w14:textId="77777777" w:rsidR="00AF70DA" w:rsidRPr="005A6D0A" w:rsidRDefault="00AF70DA" w:rsidP="00AF70DA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Marcus Tanner,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Croatia: A Nation Forged in War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Yale University Press, 2010.</w:t>
            </w:r>
          </w:p>
          <w:p w14:paraId="40A7FFE1" w14:textId="77777777" w:rsidR="00AF70DA" w:rsidRPr="005A6D0A" w:rsidRDefault="00AF70DA" w:rsidP="00AF70DA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William Bartlett,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Croatia: A Crossroads Between Europe and the Balkans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Routledge, 2003.</w:t>
            </w:r>
          </w:p>
          <w:p w14:paraId="081036C1" w14:textId="77777777" w:rsidR="00AF70DA" w:rsidRPr="005A6D0A" w:rsidRDefault="00CD7BB0" w:rsidP="00AF70DA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John J. Wilkes,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Dalmatia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London: Routledge and Kegan Paul Ltd., 1969 (reading: selected chapters)</w:t>
            </w:r>
          </w:p>
          <w:p w14:paraId="71113FAF" w14:textId="77777777" w:rsidR="00AF70DA" w:rsidRPr="005A6D0A" w:rsidRDefault="00AF70DA" w:rsidP="00AF70DA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</w:p>
        </w:tc>
      </w:tr>
      <w:tr w:rsidR="003E50B1" w:rsidRPr="005A6D0A" w14:paraId="42D11D81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4D32F885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Further reading</w:t>
            </w:r>
          </w:p>
        </w:tc>
        <w:tc>
          <w:tcPr>
            <w:tcW w:w="7865" w:type="dxa"/>
            <w:gridSpan w:val="37"/>
          </w:tcPr>
          <w:p w14:paraId="3774ECF8" w14:textId="77777777" w:rsidR="003E50B1" w:rsidRPr="005A6D0A" w:rsidRDefault="00F45265" w:rsidP="00C365A8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Mladen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Ančić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“From the </w:t>
            </w:r>
            <w:r w:rsid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‘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Demigod</w:t>
            </w:r>
            <w:r w:rsid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’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King to the First Ideas about a </w:t>
            </w:r>
            <w:r w:rsid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‘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National</w:t>
            </w:r>
            <w:r w:rsid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’ </w:t>
            </w:r>
            <w:proofErr w:type="gramStart"/>
            <w:r w:rsidR="00060370">
              <w:rPr>
                <w:rFonts w:ascii="Merriweather Light" w:eastAsia="MS Gothic" w:hAnsi="Merriweather Light" w:cs="Times New Roman"/>
                <w:sz w:val="18"/>
                <w:lang w:val="en-GB"/>
              </w:rPr>
              <w:t>Kingdom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“ in</w:t>
            </w:r>
            <w:proofErr w:type="gram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: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Kolomanov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 xml:space="preserve"> put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ed. Jelena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Borošak-Marijanović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et al., Zagreb: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Hrvatski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povijesni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muzej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2002.</w:t>
            </w:r>
          </w:p>
          <w:p w14:paraId="1BB3BA17" w14:textId="77777777" w:rsidR="00F45265" w:rsidRPr="005A6D0A" w:rsidRDefault="00F45265" w:rsidP="00F45265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Archaeological Museum Zadar - Guide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ed. J.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Vučić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Zadar, 2015. (pp. 8-27)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ab/>
            </w:r>
          </w:p>
          <w:p w14:paraId="58F6CF95" w14:textId="77777777" w:rsidR="0099203C" w:rsidRPr="005A6D0A" w:rsidRDefault="0099203C" w:rsidP="0099203C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Leslie Benson, Yugoslavia: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A Concise History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Palgrave Macmillan, 2003.</w:t>
            </w:r>
          </w:p>
          <w:p w14:paraId="0F866F0F" w14:textId="77777777" w:rsidR="00F45265" w:rsidRPr="005A6D0A" w:rsidRDefault="00710E5A" w:rsidP="00F45265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S.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Dimitrijević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- T.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Težak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Gregl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- N.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Majnarić-Pandžić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Prapovijest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Zagreb, 1998 (reading: English summaries)</w:t>
            </w:r>
          </w:p>
          <w:p w14:paraId="335F4374" w14:textId="77777777" w:rsidR="00710E5A" w:rsidRPr="005A6D0A" w:rsidRDefault="00710E5A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A.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Durman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 xml:space="preserve">Celestial symbolism in the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Vučedol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 xml:space="preserve"> Culture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Vukovar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2017.</w:t>
            </w:r>
          </w:p>
          <w:p w14:paraId="68AB8B09" w14:textId="77777777" w:rsidR="00710E5A" w:rsidRPr="005A6D0A" w:rsidRDefault="00C16529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I.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Janković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- S.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Mihelić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- I.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Karavanić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 xml:space="preserve">Put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neandertalca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 xml:space="preserve"> / The Neanderthal Trail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Zagreb, 2011.</w:t>
            </w:r>
          </w:p>
          <w:p w14:paraId="1801C691" w14:textId="77777777" w:rsidR="00C16529" w:rsidRPr="005A6D0A" w:rsidRDefault="00C16529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John R. Lampe,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Yugoslavia as History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Cambridge University Press, 2000.</w:t>
            </w:r>
          </w:p>
          <w:p w14:paraId="172B6A8A" w14:textId="77777777" w:rsidR="00917006" w:rsidRPr="005A6D0A" w:rsidRDefault="00917006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András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Mócsy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Pannonia and Upper Moesia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London - Boston: Routledge &amp; Kegan Paul, 1974 (reading: Ch. 10)</w:t>
            </w:r>
          </w:p>
          <w:p w14:paraId="77A2FD02" w14:textId="77777777" w:rsidR="00917006" w:rsidRPr="005A6D0A" w:rsidRDefault="00917006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Prehistoric Collection - Guide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Archeological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Museum in Zagreb, ed. 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it-IT"/>
              </w:rPr>
              <w:t>J. Balen, Zagreb, 2010.</w:t>
            </w:r>
          </w:p>
        </w:tc>
      </w:tr>
      <w:tr w:rsidR="003E50B1" w:rsidRPr="005A6D0A" w14:paraId="46D14E5C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6B65A75E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Online reading</w:t>
            </w:r>
          </w:p>
        </w:tc>
        <w:tc>
          <w:tcPr>
            <w:tcW w:w="7865" w:type="dxa"/>
            <w:gridSpan w:val="37"/>
          </w:tcPr>
          <w:p w14:paraId="35D2A242" w14:textId="77777777" w:rsidR="003E50B1" w:rsidRPr="005A6D0A" w:rsidRDefault="00C16529" w:rsidP="00C16529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Branko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Kirigin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Ancient Greeks in Croatia, in: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 xml:space="preserve"> Croatia. Aspects of Art, Architecture and Cultural Heritage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Frances Lincoln, 2009, 20-31. (</w:t>
            </w:r>
            <w:hyperlink r:id="rId14" w:history="1">
              <w:r w:rsidRPr="005A6D0A">
                <w:rPr>
                  <w:rStyle w:val="Hyperlink"/>
                  <w:rFonts w:ascii="Merriweather Light" w:eastAsia="MS Gothic" w:hAnsi="Merriweather Light" w:cs="Times New Roman"/>
                  <w:sz w:val="18"/>
                  <w:lang w:val="en-GB"/>
                </w:rPr>
                <w:t>https://www.academia.edu/35079410/Ancient_Greeks_in_Croatia_in_Croatia_-_aspects_of_art_architecture_and_cultural_heritage_Francis_Lincon_limited_London_2009</w:t>
              </w:r>
            </w:hyperlink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)</w:t>
            </w:r>
          </w:p>
          <w:p w14:paraId="6CA78109" w14:textId="77777777" w:rsidR="00917006" w:rsidRPr="005A6D0A" w:rsidRDefault="00917006" w:rsidP="00917006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Robert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Matijašić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Romanization of the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Histri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in the Early Roman Period,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Illyrica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 xml:space="preserve"> Antiqua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2, In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honorem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Duje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Rendić-Miočević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Zagreb, 2017, 379-390 (reading pp. 379-383) (</w:t>
            </w:r>
            <w:hyperlink r:id="rId15" w:history="1">
              <w:r w:rsidRPr="005A6D0A">
                <w:rPr>
                  <w:rStyle w:val="Hyperlink"/>
                  <w:rFonts w:ascii="Merriweather Light" w:eastAsia="MS Gothic" w:hAnsi="Merriweather Light" w:cs="Times New Roman"/>
                  <w:sz w:val="18"/>
                  <w:lang w:val="en-GB"/>
                </w:rPr>
                <w:t>https://www.academia.edu/36201254/Romanization_of_the_Histri_in_the_Early_Roman_Period</w:t>
              </w:r>
            </w:hyperlink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) </w:t>
            </w:r>
          </w:p>
          <w:p w14:paraId="710E25E9" w14:textId="77777777" w:rsidR="009176E3" w:rsidRPr="005A6D0A" w:rsidRDefault="009176E3" w:rsidP="009176E3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Marjeta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Šašel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Kos, The Roman Conquest of Illyricum (Dalmatia and Pannonia) and the Problem of the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Northeastern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Border of Italy,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 xml:space="preserve">Studia Europaea 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Gnesnensia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7, 2013, 169-200 (reading: pp. 169-195) (</w:t>
            </w:r>
            <w:hyperlink r:id="rId16" w:history="1">
              <w:r w:rsidRPr="005A6D0A">
                <w:rPr>
                  <w:rStyle w:val="Hyperlink"/>
                  <w:rFonts w:ascii="Merriweather Light" w:eastAsia="MS Gothic" w:hAnsi="Merriweather Light" w:cs="Times New Roman"/>
                  <w:sz w:val="18"/>
                  <w:lang w:val="en-GB"/>
                </w:rPr>
                <w:t>https://www.academia.edu/33216803/The_Roman_Conquest_of_Illyricum_Dalmatia_and_Pannonia_and_the_Problem_of_the_Northeastern_Border_of_Italy</w:t>
              </w:r>
            </w:hyperlink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)</w:t>
            </w:r>
          </w:p>
        </w:tc>
      </w:tr>
      <w:tr w:rsidR="003E50B1" w:rsidRPr="005A6D0A" w14:paraId="47097BA4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6B7FCDB" w14:textId="77777777" w:rsidR="003E50B1" w:rsidRPr="005A6D0A" w:rsidRDefault="003E50B1" w:rsidP="00C02454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Checking learning outcomes (as instructed by the CCAF)</w:t>
            </w:r>
          </w:p>
        </w:tc>
        <w:tc>
          <w:tcPr>
            <w:tcW w:w="6120" w:type="dxa"/>
            <w:gridSpan w:val="31"/>
          </w:tcPr>
          <w:p w14:paraId="3B6C4ACE" w14:textId="77777777" w:rsidR="003E50B1" w:rsidRPr="005A6D0A" w:rsidRDefault="003E50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>Final exam only</w:t>
            </w:r>
          </w:p>
        </w:tc>
        <w:tc>
          <w:tcPr>
            <w:tcW w:w="1745" w:type="dxa"/>
            <w:gridSpan w:val="6"/>
          </w:tcPr>
          <w:p w14:paraId="447E943B" w14:textId="77777777" w:rsidR="003E50B1" w:rsidRPr="005A6D0A" w:rsidRDefault="003E50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</w:p>
        </w:tc>
      </w:tr>
      <w:tr w:rsidR="003E50B1" w:rsidRPr="005A6D0A" w14:paraId="5E4A2949" w14:textId="77777777" w:rsidTr="00060370">
        <w:trPr>
          <w:gridAfter w:val="1"/>
          <w:wAfter w:w="9" w:type="dxa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51D9251C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2271" w:type="dxa"/>
            <w:gridSpan w:val="10"/>
            <w:vAlign w:val="center"/>
          </w:tcPr>
          <w:p w14:paraId="1271778B" w14:textId="77777777" w:rsidR="003E50B1" w:rsidRPr="005A6D0A" w:rsidRDefault="007F566F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</w:t>
            </w:r>
            <w:r w:rsidR="003E50B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>final written exam</w:t>
            </w:r>
          </w:p>
        </w:tc>
        <w:tc>
          <w:tcPr>
            <w:tcW w:w="1842" w:type="dxa"/>
            <w:gridSpan w:val="10"/>
            <w:vAlign w:val="center"/>
          </w:tcPr>
          <w:p w14:paraId="2603D734" w14:textId="77777777" w:rsidR="003E50B1" w:rsidRPr="005A6D0A" w:rsidRDefault="007F566F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370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</w:t>
            </w:r>
            <w:r w:rsidR="003E50B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>final oral exam</w:t>
            </w:r>
          </w:p>
        </w:tc>
        <w:tc>
          <w:tcPr>
            <w:tcW w:w="2007" w:type="dxa"/>
            <w:gridSpan w:val="11"/>
            <w:vAlign w:val="center"/>
          </w:tcPr>
          <w:p w14:paraId="7C63B935" w14:textId="77777777" w:rsidR="003E50B1" w:rsidRPr="005A6D0A" w:rsidRDefault="007F566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</w:t>
            </w:r>
            <w:r w:rsidR="003E50B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>final written and oral exam</w:t>
            </w:r>
          </w:p>
        </w:tc>
        <w:tc>
          <w:tcPr>
            <w:tcW w:w="1745" w:type="dxa"/>
            <w:gridSpan w:val="6"/>
            <w:vAlign w:val="center"/>
          </w:tcPr>
          <w:p w14:paraId="18C525DC" w14:textId="77777777" w:rsidR="003E50B1" w:rsidRPr="005A6D0A" w:rsidRDefault="007F566F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practical work and </w:t>
            </w:r>
            <w:r w:rsidR="003E50B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 xml:space="preserve">final exam </w:t>
            </w:r>
          </w:p>
        </w:tc>
      </w:tr>
      <w:tr w:rsidR="002C6CA1" w:rsidRPr="005A6D0A" w14:paraId="6EE7CF66" w14:textId="77777777" w:rsidTr="00060370">
        <w:trPr>
          <w:gridAfter w:val="1"/>
          <w:wAfter w:w="9" w:type="dxa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5E1EB07B" w14:textId="77777777" w:rsidR="002C6CA1" w:rsidRPr="005A6D0A" w:rsidRDefault="002C6CA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1749" w:type="dxa"/>
            <w:gridSpan w:val="7"/>
            <w:vAlign w:val="center"/>
          </w:tcPr>
          <w:p w14:paraId="5A654C27" w14:textId="77777777" w:rsidR="002C6CA1" w:rsidRPr="005A6D0A" w:rsidRDefault="007F566F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mid-term exam(s) only / home-work(s) </w:t>
            </w:r>
          </w:p>
        </w:tc>
        <w:tc>
          <w:tcPr>
            <w:tcW w:w="1656" w:type="dxa"/>
            <w:gridSpan w:val="9"/>
            <w:vAlign w:val="center"/>
          </w:tcPr>
          <w:p w14:paraId="7B275C77" w14:textId="77777777" w:rsidR="002C6CA1" w:rsidRPr="005A6D0A" w:rsidRDefault="007F566F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mid-term exam(s) / home-work(s) </w:t>
            </w:r>
            <w:proofErr w:type="gramStart"/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and  </w:t>
            </w:r>
            <w:r w:rsidR="002C6CA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>final</w:t>
            </w:r>
            <w:proofErr w:type="gramEnd"/>
            <w:r w:rsidR="002C6CA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 xml:space="preserve"> exam</w:t>
            </w:r>
          </w:p>
        </w:tc>
        <w:tc>
          <w:tcPr>
            <w:tcW w:w="992" w:type="dxa"/>
            <w:gridSpan w:val="5"/>
            <w:vAlign w:val="center"/>
          </w:tcPr>
          <w:p w14:paraId="30133B71" w14:textId="77777777" w:rsidR="002C6CA1" w:rsidRPr="005A6D0A" w:rsidRDefault="007F566F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</w:t>
            </w:r>
            <w:r w:rsidR="002C6CA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>seminar paper</w:t>
            </w:r>
          </w:p>
        </w:tc>
        <w:tc>
          <w:tcPr>
            <w:tcW w:w="1276" w:type="dxa"/>
            <w:gridSpan w:val="8"/>
            <w:vAlign w:val="center"/>
          </w:tcPr>
          <w:p w14:paraId="6CDC1B6A" w14:textId="77777777" w:rsidR="002C6CA1" w:rsidRPr="005A6D0A" w:rsidRDefault="007F566F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</w:t>
            </w:r>
            <w:r w:rsidR="002C6CA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>seminar paper</w:t>
            </w:r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and </w:t>
            </w:r>
            <w:r w:rsidR="002C6CA1" w:rsidRPr="005A6D0A"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  <w:t xml:space="preserve">final exam </w:t>
            </w:r>
          </w:p>
          <w:p w14:paraId="5314A8A5" w14:textId="77777777" w:rsidR="002C6CA1" w:rsidRPr="005A6D0A" w:rsidRDefault="002C6C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5A969496" w14:textId="77777777" w:rsidR="002C6CA1" w:rsidRPr="005A6D0A" w:rsidRDefault="007F566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practical work</w:t>
            </w:r>
          </w:p>
        </w:tc>
        <w:tc>
          <w:tcPr>
            <w:tcW w:w="917" w:type="dxa"/>
            <w:gridSpan w:val="2"/>
            <w:vAlign w:val="center"/>
          </w:tcPr>
          <w:p w14:paraId="5DCF25BE" w14:textId="77777777" w:rsidR="002C6CA1" w:rsidRPr="005A6D0A" w:rsidRDefault="007F566F" w:rsidP="002C6CA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 Light" w:hAnsi="Merriweather Light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277148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A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2C6CA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other ways</w:t>
            </w:r>
          </w:p>
        </w:tc>
      </w:tr>
      <w:tr w:rsidR="003E50B1" w:rsidRPr="005A6D0A" w14:paraId="58C7F624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4E0C730A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The way the final grade is formed (%)</w:t>
            </w:r>
          </w:p>
        </w:tc>
        <w:tc>
          <w:tcPr>
            <w:tcW w:w="7865" w:type="dxa"/>
            <w:gridSpan w:val="37"/>
            <w:vAlign w:val="center"/>
          </w:tcPr>
          <w:p w14:paraId="4EA6318E" w14:textId="77777777" w:rsidR="003E50B1" w:rsidRPr="005A6D0A" w:rsidRDefault="00815E82" w:rsidP="00815E82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Successfully completed presentation that is a result of student's own research at the end of the </w:t>
            </w:r>
            <w:r w:rsidR="00EB3832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semester (65</w:t>
            </w:r>
            <w:r w:rsidR="003E50B1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%</w:t>
            </w:r>
            <w:r w:rsidR="00EB3832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), class attendance and participation in discussions (35%)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.</w:t>
            </w:r>
            <w:r w:rsidR="003E50B1"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</w:t>
            </w:r>
          </w:p>
        </w:tc>
      </w:tr>
      <w:tr w:rsidR="003E50B1" w:rsidRPr="005A6D0A" w14:paraId="3DC6A747" w14:textId="77777777" w:rsidTr="00BB49BA">
        <w:trPr>
          <w:gridAfter w:val="2"/>
          <w:wAfter w:w="25" w:type="dxa"/>
        </w:trPr>
        <w:tc>
          <w:tcPr>
            <w:tcW w:w="1665" w:type="dxa"/>
            <w:gridSpan w:val="2"/>
            <w:vMerge w:val="restart"/>
            <w:shd w:val="clear" w:color="auto" w:fill="F2F2F2" w:themeFill="background1" w:themeFillShade="F2"/>
          </w:tcPr>
          <w:p w14:paraId="0A3AAFF4" w14:textId="77777777" w:rsidR="003E50B1" w:rsidRPr="005A6D0A" w:rsidRDefault="003E50B1" w:rsidP="00785CAA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Grades</w:t>
            </w:r>
          </w:p>
          <w:p w14:paraId="087CD433" w14:textId="77777777" w:rsidR="003E50B1" w:rsidRPr="005A6D0A" w:rsidRDefault="003E50B1" w:rsidP="00785CAA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/</w:t>
            </w:r>
            <w:proofErr w:type="gramStart"/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enter</w:t>
            </w:r>
            <w:proofErr w:type="gramEnd"/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the percentage or number of </w:t>
            </w: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lastRenderedPageBreak/>
              <w:t>points for the elements being evaluated /</w:t>
            </w:r>
          </w:p>
        </w:tc>
        <w:tc>
          <w:tcPr>
            <w:tcW w:w="1432" w:type="dxa"/>
            <w:gridSpan w:val="5"/>
            <w:vAlign w:val="center"/>
          </w:tcPr>
          <w:p w14:paraId="37E5509D" w14:textId="77777777" w:rsidR="003E50B1" w:rsidRPr="005A6D0A" w:rsidRDefault="003E50B1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lastRenderedPageBreak/>
              <w:t>&lt; 50%</w:t>
            </w:r>
          </w:p>
        </w:tc>
        <w:tc>
          <w:tcPr>
            <w:tcW w:w="6417" w:type="dxa"/>
            <w:gridSpan w:val="31"/>
            <w:vAlign w:val="center"/>
          </w:tcPr>
          <w:p w14:paraId="735277B1" w14:textId="77777777" w:rsidR="003E50B1" w:rsidRPr="005A6D0A" w:rsidRDefault="003E50B1" w:rsidP="007802F2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insufficient (1)</w:t>
            </w:r>
          </w:p>
        </w:tc>
      </w:tr>
      <w:tr w:rsidR="003E50B1" w:rsidRPr="005A6D0A" w14:paraId="03790D13" w14:textId="77777777" w:rsidTr="00BB49BA">
        <w:trPr>
          <w:gridAfter w:val="2"/>
          <w:wAfter w:w="25" w:type="dxa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090C30E1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1432" w:type="dxa"/>
            <w:gridSpan w:val="5"/>
            <w:vAlign w:val="center"/>
          </w:tcPr>
          <w:p w14:paraId="33BBD24C" w14:textId="77777777" w:rsidR="003E50B1" w:rsidRPr="005A6D0A" w:rsidRDefault="003E50B1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50%-60%</w:t>
            </w:r>
          </w:p>
        </w:tc>
        <w:tc>
          <w:tcPr>
            <w:tcW w:w="6417" w:type="dxa"/>
            <w:gridSpan w:val="31"/>
            <w:vAlign w:val="center"/>
          </w:tcPr>
          <w:p w14:paraId="477F8E0B" w14:textId="77777777" w:rsidR="003E50B1" w:rsidRPr="005A6D0A" w:rsidRDefault="003E50B1" w:rsidP="007802F2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sufficient (2)</w:t>
            </w:r>
          </w:p>
        </w:tc>
      </w:tr>
      <w:tr w:rsidR="003E50B1" w:rsidRPr="005A6D0A" w14:paraId="5C35CE3C" w14:textId="77777777" w:rsidTr="00BB49BA">
        <w:trPr>
          <w:gridAfter w:val="2"/>
          <w:wAfter w:w="25" w:type="dxa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55F7338B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1432" w:type="dxa"/>
            <w:gridSpan w:val="5"/>
            <w:vAlign w:val="center"/>
          </w:tcPr>
          <w:p w14:paraId="07814AB2" w14:textId="77777777" w:rsidR="003E50B1" w:rsidRPr="005A6D0A" w:rsidRDefault="003E50B1" w:rsidP="00BA0E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61%-70%</w:t>
            </w:r>
          </w:p>
        </w:tc>
        <w:tc>
          <w:tcPr>
            <w:tcW w:w="6417" w:type="dxa"/>
            <w:gridSpan w:val="31"/>
            <w:vAlign w:val="center"/>
          </w:tcPr>
          <w:p w14:paraId="061B310F" w14:textId="77777777" w:rsidR="003E50B1" w:rsidRPr="005A6D0A" w:rsidRDefault="003E50B1" w:rsidP="007802F2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good (3)</w:t>
            </w:r>
          </w:p>
        </w:tc>
      </w:tr>
      <w:tr w:rsidR="003E50B1" w:rsidRPr="005A6D0A" w14:paraId="268F09AB" w14:textId="77777777" w:rsidTr="00BB49BA">
        <w:trPr>
          <w:gridAfter w:val="2"/>
          <w:wAfter w:w="25" w:type="dxa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1735C012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1432" w:type="dxa"/>
            <w:gridSpan w:val="5"/>
            <w:vAlign w:val="center"/>
          </w:tcPr>
          <w:p w14:paraId="04163814" w14:textId="77777777" w:rsidR="003E50B1" w:rsidRPr="005A6D0A" w:rsidRDefault="003E50B1" w:rsidP="00BA0E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71-80%</w:t>
            </w:r>
          </w:p>
        </w:tc>
        <w:tc>
          <w:tcPr>
            <w:tcW w:w="6417" w:type="dxa"/>
            <w:gridSpan w:val="31"/>
            <w:vAlign w:val="center"/>
          </w:tcPr>
          <w:p w14:paraId="6371F9F5" w14:textId="77777777" w:rsidR="003E50B1" w:rsidRPr="005A6D0A" w:rsidRDefault="003E50B1" w:rsidP="007802F2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very good (4)</w:t>
            </w:r>
          </w:p>
        </w:tc>
      </w:tr>
      <w:tr w:rsidR="003E50B1" w:rsidRPr="005A6D0A" w14:paraId="5F7CE3DC" w14:textId="77777777" w:rsidTr="00BB49BA">
        <w:trPr>
          <w:gridAfter w:val="2"/>
          <w:wAfter w:w="25" w:type="dxa"/>
        </w:trPr>
        <w:tc>
          <w:tcPr>
            <w:tcW w:w="1665" w:type="dxa"/>
            <w:gridSpan w:val="2"/>
            <w:vMerge/>
            <w:shd w:val="clear" w:color="auto" w:fill="F2F2F2" w:themeFill="background1" w:themeFillShade="F2"/>
          </w:tcPr>
          <w:p w14:paraId="58729A8B" w14:textId="77777777" w:rsidR="003E50B1" w:rsidRPr="005A6D0A" w:rsidRDefault="003E50B1" w:rsidP="0079745E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</w:p>
        </w:tc>
        <w:tc>
          <w:tcPr>
            <w:tcW w:w="1432" w:type="dxa"/>
            <w:gridSpan w:val="5"/>
            <w:vAlign w:val="center"/>
          </w:tcPr>
          <w:p w14:paraId="3F9FB3E4" w14:textId="77777777" w:rsidR="003E50B1" w:rsidRPr="005A6D0A" w:rsidRDefault="003E50B1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≥ 80%</w:t>
            </w:r>
          </w:p>
        </w:tc>
        <w:tc>
          <w:tcPr>
            <w:tcW w:w="6417" w:type="dxa"/>
            <w:gridSpan w:val="31"/>
            <w:vAlign w:val="center"/>
          </w:tcPr>
          <w:p w14:paraId="6CC51328" w14:textId="77777777" w:rsidR="003E50B1" w:rsidRPr="005A6D0A" w:rsidRDefault="003E50B1" w:rsidP="007802F2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hAnsi="Merriweather Light" w:cs="Times New Roman"/>
                <w:sz w:val="18"/>
                <w:lang w:val="en-GB"/>
              </w:rPr>
              <w:t>excellent (5)</w:t>
            </w:r>
          </w:p>
        </w:tc>
      </w:tr>
      <w:tr w:rsidR="003E50B1" w:rsidRPr="005A6D0A" w14:paraId="55B886EE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553E525A" w14:textId="77777777" w:rsidR="003E50B1" w:rsidRPr="005A6D0A" w:rsidRDefault="003E50B1" w:rsidP="00C662E9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>Teaching quality assurance</w:t>
            </w:r>
          </w:p>
        </w:tc>
        <w:tc>
          <w:tcPr>
            <w:tcW w:w="7865" w:type="dxa"/>
            <w:gridSpan w:val="37"/>
            <w:vAlign w:val="center"/>
          </w:tcPr>
          <w:p w14:paraId="52EA21F5" w14:textId="77777777" w:rsidR="003E50B1" w:rsidRPr="005A6D0A" w:rsidRDefault="007F566F" w:rsidP="0079745E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Standard institutional quality evaluation form at the University level</w:t>
            </w:r>
          </w:p>
          <w:p w14:paraId="7B2596FB" w14:textId="77777777" w:rsidR="003E50B1" w:rsidRPr="005A6D0A" w:rsidRDefault="007F566F" w:rsidP="0079745E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Standard institutional quality evaluation form at the department level </w:t>
            </w:r>
          </w:p>
          <w:p w14:paraId="6C1E195C" w14:textId="77777777" w:rsidR="003E50B1" w:rsidRPr="005A6D0A" w:rsidRDefault="007F566F" w:rsidP="0079745E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internal quality evaluation </w:t>
            </w:r>
          </w:p>
          <w:p w14:paraId="59BFDA21" w14:textId="77777777" w:rsidR="003E50B1" w:rsidRPr="005A6D0A" w:rsidRDefault="007F566F" w:rsidP="0079745E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☒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sessions of department's council focused on the teaching quality assurance and on results of students' standard quality evaluations</w:t>
            </w:r>
          </w:p>
          <w:p w14:paraId="301FF9A2" w14:textId="77777777" w:rsidR="003E50B1" w:rsidRPr="005A6D0A" w:rsidRDefault="007F566F" w:rsidP="00C662E9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18"/>
                <w:lang w:val="en-GB"/>
              </w:rPr>
            </w:pPr>
            <w:sdt>
              <w:sdtPr>
                <w:rPr>
                  <w:rFonts w:ascii="Merriweather Light" w:hAnsi="Merriweather Light" w:cs="Times New Roman"/>
                  <w:sz w:val="18"/>
                  <w:lang w:val="en-GB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5A6D0A">
                  <w:rPr>
                    <w:rFonts w:ascii="MS Mincho" w:eastAsia="MS Mincho" w:hAnsi="MS Mincho" w:cs="MS Mincho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5A6D0A">
              <w:rPr>
                <w:rFonts w:ascii="Merriweather Light" w:hAnsi="Merriweather Light" w:cs="Times New Roman"/>
                <w:sz w:val="18"/>
                <w:lang w:val="en-GB"/>
              </w:rPr>
              <w:t xml:space="preserve"> other </w:t>
            </w:r>
          </w:p>
        </w:tc>
      </w:tr>
      <w:tr w:rsidR="003E50B1" w:rsidRPr="005A6D0A" w14:paraId="7FA50C97" w14:textId="77777777" w:rsidTr="00BB49BA">
        <w:trPr>
          <w:gridAfter w:val="1"/>
          <w:wAfter w:w="9" w:type="dxa"/>
        </w:trPr>
        <w:tc>
          <w:tcPr>
            <w:tcW w:w="1665" w:type="dxa"/>
            <w:gridSpan w:val="2"/>
            <w:shd w:val="clear" w:color="auto" w:fill="F2F2F2" w:themeFill="background1" w:themeFillShade="F2"/>
          </w:tcPr>
          <w:p w14:paraId="231D3274" w14:textId="77777777" w:rsidR="003E50B1" w:rsidRPr="005A6D0A" w:rsidRDefault="003E50B1" w:rsidP="00C662E9">
            <w:pPr>
              <w:spacing w:before="20" w:after="20"/>
              <w:rPr>
                <w:rFonts w:ascii="Merriweather Black" w:hAnsi="Merriweather Black" w:cs="Times New Roman"/>
                <w:b/>
                <w:sz w:val="18"/>
                <w:lang w:val="en-GB"/>
              </w:rPr>
            </w:pPr>
            <w:r w:rsidRPr="005A6D0A">
              <w:rPr>
                <w:rFonts w:ascii="Merriweather Black" w:hAnsi="Merriweather Black" w:cs="Times New Roman"/>
                <w:b/>
                <w:sz w:val="18"/>
                <w:lang w:val="en-GB"/>
              </w:rPr>
              <w:t xml:space="preserve">Note / Other </w:t>
            </w:r>
          </w:p>
        </w:tc>
        <w:tc>
          <w:tcPr>
            <w:tcW w:w="7865" w:type="dxa"/>
            <w:gridSpan w:val="37"/>
            <w:shd w:val="clear" w:color="auto" w:fill="auto"/>
          </w:tcPr>
          <w:p w14:paraId="32254563" w14:textId="77777777" w:rsidR="003E50B1" w:rsidRPr="005A6D0A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In accordance with Art. 6 of the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Code of Ethics of the Committee on Ethics in Science and Higher Education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, "the student is expected to fulfil his obligations honestly and ethically, to pursue academic excellence as a fundamental goal, to behave in a civilized manner, with respect and without prejudice." According to Art. 14 of the University of Zadar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Code of Ethics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, students are expected to "</w:t>
            </w:r>
            <w:proofErr w:type="spellStart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fulfill</w:t>
            </w:r>
            <w:proofErr w:type="spellEnd"/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their responsibilities responsibly and conscientiously. […] It is the duty of the students to safeguard the reputation and dignity of all members of the university community and of the University of Zadar as a whole, to promote moral and academic values and principles. [...]</w:t>
            </w:r>
          </w:p>
          <w:p w14:paraId="5AE3B81C" w14:textId="77777777" w:rsidR="003E50B1" w:rsidRPr="005A6D0A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Any act constituting a violation of academic honesty is ethically prohibited. This includes, but is not limited to:</w:t>
            </w:r>
          </w:p>
          <w:p w14:paraId="6D1AFF82" w14:textId="77777777" w:rsidR="003E50B1" w:rsidRPr="005A6D0A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- various forms of fraud such as the use or possession of books, notes, data, electronic gadgets or other aids during examinations, except when expressly permitted;</w:t>
            </w:r>
          </w:p>
          <w:p w14:paraId="3FC9094D" w14:textId="77777777" w:rsidR="003E50B1" w:rsidRPr="005A6D0A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- various forms of forgery such as the use or possession of unauthorized materials during the exam; impersonation and attendance at exams on behalf of other students; fraudulent study documents; forgery of signatures and grades; falsifying exam results."</w:t>
            </w:r>
          </w:p>
          <w:p w14:paraId="1E76982E" w14:textId="77777777" w:rsidR="003E50B1" w:rsidRPr="005A6D0A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All forms of unethical behaviour will result in a negative grade in the course without the possibility of compensation or repair. In case of serious injuries, the </w:t>
            </w:r>
            <w:r w:rsidRPr="005A6D0A">
              <w:rPr>
                <w:rFonts w:ascii="Merriweather Light" w:eastAsia="MS Gothic" w:hAnsi="Merriweather Light" w:cs="Times New Roman"/>
                <w:i/>
                <w:sz w:val="18"/>
                <w:lang w:val="en-GB"/>
              </w:rPr>
              <w:t>Bylaws on Disciplinary Responsibility of Students of the University of Zadar</w:t>
            </w: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 apply.</w:t>
            </w:r>
          </w:p>
          <w:p w14:paraId="46B8E1F2" w14:textId="77777777" w:rsidR="003E50B1" w:rsidRPr="005A6D0A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>Electronic communications will only respond to messages coming from known addresses with a first and last name and written in the Croatian standard and appropriate academic style.</w:t>
            </w:r>
          </w:p>
          <w:p w14:paraId="3DC0D476" w14:textId="77777777" w:rsidR="003E50B1" w:rsidRDefault="003E50B1" w:rsidP="005C27B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5A6D0A">
              <w:rPr>
                <w:rFonts w:ascii="Merriweather Light" w:eastAsia="MS Gothic" w:hAnsi="Merriweather Light" w:cs="Times New Roman"/>
                <w:sz w:val="18"/>
                <w:lang w:val="en-GB"/>
              </w:rPr>
              <w:t xml:space="preserve">Course uses the Merlin e-learning system so the AAI accounts are required. </w:t>
            </w:r>
          </w:p>
          <w:p w14:paraId="29A37AA6" w14:textId="77777777" w:rsidR="00DE61C2" w:rsidRPr="005A6D0A" w:rsidRDefault="00DE61C2" w:rsidP="005C27B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Light" w:eastAsia="MS Gothic" w:hAnsi="Merriweather Light" w:cs="Times New Roman"/>
                <w:sz w:val="18"/>
                <w:lang w:val="en-GB"/>
              </w:rPr>
            </w:pPr>
            <w:r w:rsidRPr="00DE61C2">
              <w:rPr>
                <w:rFonts w:ascii="Merriweather Light" w:eastAsia="MS Gothic" w:hAnsi="Merriweather Light" w:cs="Times New Roman"/>
                <w:sz w:val="18"/>
                <w:lang w:val="en-GB"/>
              </w:rPr>
              <w:t>All lectures and exams are fit for both live and online approach.</w:t>
            </w:r>
          </w:p>
        </w:tc>
      </w:tr>
    </w:tbl>
    <w:p w14:paraId="79E0F856" w14:textId="77777777" w:rsidR="00794496" w:rsidRPr="005A6D0A" w:rsidRDefault="00794496">
      <w:pPr>
        <w:rPr>
          <w:rFonts w:ascii="Merriweather Light" w:hAnsi="Merriweather Light" w:cs="Times New Roman"/>
          <w:sz w:val="24"/>
          <w:lang w:val="en-GB"/>
        </w:rPr>
      </w:pPr>
    </w:p>
    <w:sectPr w:rsidR="00794496" w:rsidRPr="005A6D0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0906" w14:textId="77777777" w:rsidR="007F566F" w:rsidRDefault="007F566F" w:rsidP="009947BA">
      <w:pPr>
        <w:spacing w:before="0" w:after="0"/>
      </w:pPr>
      <w:r>
        <w:separator/>
      </w:r>
    </w:p>
  </w:endnote>
  <w:endnote w:type="continuationSeparator" w:id="0">
    <w:p w14:paraId="3CDA2555" w14:textId="77777777" w:rsidR="007F566F" w:rsidRDefault="007F566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3512" w14:textId="77777777" w:rsidR="00435272" w:rsidRDefault="00435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039D" w14:textId="77777777" w:rsidR="00435272" w:rsidRDefault="00435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ABE9" w14:textId="77777777" w:rsidR="00435272" w:rsidRDefault="00435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7B3C" w14:textId="77777777" w:rsidR="007F566F" w:rsidRDefault="007F566F" w:rsidP="009947BA">
      <w:pPr>
        <w:spacing w:before="0" w:after="0"/>
      </w:pPr>
      <w:r>
        <w:separator/>
      </w:r>
    </w:p>
  </w:footnote>
  <w:footnote w:type="continuationSeparator" w:id="0">
    <w:p w14:paraId="27A63464" w14:textId="77777777" w:rsidR="007F566F" w:rsidRDefault="007F566F" w:rsidP="009947BA">
      <w:pPr>
        <w:spacing w:before="0" w:after="0"/>
      </w:pPr>
      <w:r>
        <w:continuationSeparator/>
      </w:r>
    </w:p>
  </w:footnote>
  <w:footnote w:id="1">
    <w:p w14:paraId="517DD60F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="003046D6" w:rsidRPr="003046D6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Words and concepts in this form that have gender meaning apply the same way to masculine and feminine gender.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F7E" w14:textId="77777777" w:rsidR="00435272" w:rsidRDefault="00435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30F1" w14:textId="77777777" w:rsidR="00435272" w:rsidRPr="00435272" w:rsidRDefault="00435272" w:rsidP="00435272">
    <w:pPr>
      <w:tabs>
        <w:tab w:val="left" w:pos="1418"/>
      </w:tabs>
      <w:spacing w:before="0" w:after="0"/>
      <w:ind w:left="1560" w:right="-142"/>
      <w:outlineLvl w:val="1"/>
      <w:rPr>
        <w:rFonts w:ascii="Merriweather" w:eastAsia="Times New Roman" w:hAnsi="Merriweather" w:cs="Times New Roman"/>
        <w:b/>
        <w:bCs/>
        <w:sz w:val="18"/>
        <w:szCs w:val="20"/>
        <w:lang w:eastAsia="hr-HR"/>
      </w:rPr>
    </w:pPr>
    <w:r w:rsidRPr="00435272">
      <w:rPr>
        <w:rFonts w:ascii="Merriweather" w:eastAsia="Times New Roman" w:hAnsi="Merriweather" w:cs="Times New Roman"/>
        <w:noProof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E23DD" wp14:editId="71C2993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5EBC2" w14:textId="77777777" w:rsidR="00435272" w:rsidRDefault="00435272" w:rsidP="00435272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B56A402" wp14:editId="65DEB34C">
                                <wp:extent cx="724205" cy="782768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E23DD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C25EBC2" w14:textId="77777777" w:rsidR="00435272" w:rsidRDefault="00435272" w:rsidP="00435272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B56A402" wp14:editId="65DEB34C">
                          <wp:extent cx="724205" cy="782768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8716C8F" w14:textId="77777777" w:rsidR="00435272" w:rsidRPr="00435272" w:rsidRDefault="00435272" w:rsidP="0043527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435272">
      <w:rPr>
        <w:rFonts w:ascii="Merriweather" w:hAnsi="Merriweather"/>
        <w:sz w:val="18"/>
        <w:szCs w:val="20"/>
      </w:rPr>
      <w:t>Obrazac 1.3.2. Izvedbeni plan nastave (</w:t>
    </w:r>
    <w:r w:rsidRPr="00435272">
      <w:rPr>
        <w:rFonts w:ascii="Merriweather" w:hAnsi="Merriweather"/>
        <w:i/>
        <w:sz w:val="18"/>
        <w:szCs w:val="20"/>
      </w:rPr>
      <w:t>syllabus</w:t>
    </w:r>
    <w:r w:rsidRPr="00435272">
      <w:rPr>
        <w:rFonts w:ascii="Merriweather" w:hAnsi="Merriweather"/>
        <w:sz w:val="18"/>
        <w:szCs w:val="20"/>
      </w:rPr>
      <w:t>)</w:t>
    </w:r>
  </w:p>
  <w:p w14:paraId="325E9014" w14:textId="77777777" w:rsidR="0079745E" w:rsidRDefault="0079745E">
    <w:pPr>
      <w:pStyle w:val="Header"/>
    </w:pPr>
  </w:p>
  <w:p w14:paraId="70CA18EB" w14:textId="77777777" w:rsidR="00435272" w:rsidRDefault="00435272">
    <w:pPr>
      <w:pStyle w:val="Header"/>
    </w:pPr>
  </w:p>
  <w:p w14:paraId="142ADE6B" w14:textId="77777777" w:rsidR="00435272" w:rsidRDefault="00435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801F" w14:textId="77777777" w:rsidR="00435272" w:rsidRDefault="00435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35F1A"/>
    <w:multiLevelType w:val="multilevel"/>
    <w:tmpl w:val="454CF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373E"/>
    <w:rsid w:val="0001045D"/>
    <w:rsid w:val="00016F95"/>
    <w:rsid w:val="00017F26"/>
    <w:rsid w:val="00060370"/>
    <w:rsid w:val="00085FCA"/>
    <w:rsid w:val="00090759"/>
    <w:rsid w:val="000A567F"/>
    <w:rsid w:val="000A790E"/>
    <w:rsid w:val="000C0578"/>
    <w:rsid w:val="000C128F"/>
    <w:rsid w:val="000D396F"/>
    <w:rsid w:val="000E3F6C"/>
    <w:rsid w:val="000F77B8"/>
    <w:rsid w:val="0010332B"/>
    <w:rsid w:val="00124C78"/>
    <w:rsid w:val="001443A2"/>
    <w:rsid w:val="00144E4E"/>
    <w:rsid w:val="00150B32"/>
    <w:rsid w:val="00175C6B"/>
    <w:rsid w:val="00197510"/>
    <w:rsid w:val="001E4DD9"/>
    <w:rsid w:val="0022722C"/>
    <w:rsid w:val="00230393"/>
    <w:rsid w:val="00251D99"/>
    <w:rsid w:val="00263E57"/>
    <w:rsid w:val="002723CB"/>
    <w:rsid w:val="00280A39"/>
    <w:rsid w:val="00284315"/>
    <w:rsid w:val="0028545A"/>
    <w:rsid w:val="002C6CA1"/>
    <w:rsid w:val="002E1CE6"/>
    <w:rsid w:val="002F207C"/>
    <w:rsid w:val="002F2D22"/>
    <w:rsid w:val="003046D6"/>
    <w:rsid w:val="00326091"/>
    <w:rsid w:val="00354249"/>
    <w:rsid w:val="00357643"/>
    <w:rsid w:val="00364FE0"/>
    <w:rsid w:val="003711F1"/>
    <w:rsid w:val="00371634"/>
    <w:rsid w:val="00386E9C"/>
    <w:rsid w:val="00393363"/>
    <w:rsid w:val="00393964"/>
    <w:rsid w:val="003A3E41"/>
    <w:rsid w:val="003A3FA8"/>
    <w:rsid w:val="003E50B1"/>
    <w:rsid w:val="003F11B6"/>
    <w:rsid w:val="003F17B8"/>
    <w:rsid w:val="003F261F"/>
    <w:rsid w:val="0042355B"/>
    <w:rsid w:val="00435272"/>
    <w:rsid w:val="0044572E"/>
    <w:rsid w:val="00445744"/>
    <w:rsid w:val="00453362"/>
    <w:rsid w:val="00461219"/>
    <w:rsid w:val="00461F29"/>
    <w:rsid w:val="00470F6D"/>
    <w:rsid w:val="0048143A"/>
    <w:rsid w:val="00483BC3"/>
    <w:rsid w:val="004923F4"/>
    <w:rsid w:val="004A4033"/>
    <w:rsid w:val="004A6771"/>
    <w:rsid w:val="004B553E"/>
    <w:rsid w:val="004D72B5"/>
    <w:rsid w:val="004E53D6"/>
    <w:rsid w:val="004F11A7"/>
    <w:rsid w:val="004F2CA5"/>
    <w:rsid w:val="005215DA"/>
    <w:rsid w:val="005353ED"/>
    <w:rsid w:val="005514C3"/>
    <w:rsid w:val="0058104C"/>
    <w:rsid w:val="005A660F"/>
    <w:rsid w:val="005A6D0A"/>
    <w:rsid w:val="005B20DD"/>
    <w:rsid w:val="005B5F16"/>
    <w:rsid w:val="005C27B2"/>
    <w:rsid w:val="005D3518"/>
    <w:rsid w:val="005E1668"/>
    <w:rsid w:val="005F133E"/>
    <w:rsid w:val="005F6E0B"/>
    <w:rsid w:val="00607084"/>
    <w:rsid w:val="0062328F"/>
    <w:rsid w:val="00640125"/>
    <w:rsid w:val="006419C9"/>
    <w:rsid w:val="00644B80"/>
    <w:rsid w:val="00662559"/>
    <w:rsid w:val="00684BBC"/>
    <w:rsid w:val="006B4920"/>
    <w:rsid w:val="006D70D8"/>
    <w:rsid w:val="006E07CA"/>
    <w:rsid w:val="006E4E86"/>
    <w:rsid w:val="006E53C2"/>
    <w:rsid w:val="006F1429"/>
    <w:rsid w:val="00700D7A"/>
    <w:rsid w:val="00710E5A"/>
    <w:rsid w:val="00735025"/>
    <w:rsid w:val="007361E7"/>
    <w:rsid w:val="007368EB"/>
    <w:rsid w:val="007449E7"/>
    <w:rsid w:val="00760919"/>
    <w:rsid w:val="00760DFF"/>
    <w:rsid w:val="007802F2"/>
    <w:rsid w:val="0078125F"/>
    <w:rsid w:val="00785CAA"/>
    <w:rsid w:val="0078754E"/>
    <w:rsid w:val="00787641"/>
    <w:rsid w:val="00794496"/>
    <w:rsid w:val="007967CC"/>
    <w:rsid w:val="0079745E"/>
    <w:rsid w:val="00797B40"/>
    <w:rsid w:val="007C43A4"/>
    <w:rsid w:val="007D4D2D"/>
    <w:rsid w:val="007F3CEA"/>
    <w:rsid w:val="007F566F"/>
    <w:rsid w:val="00811ADF"/>
    <w:rsid w:val="00815656"/>
    <w:rsid w:val="00815E82"/>
    <w:rsid w:val="00842186"/>
    <w:rsid w:val="00845A86"/>
    <w:rsid w:val="008561FC"/>
    <w:rsid w:val="00865776"/>
    <w:rsid w:val="0086635C"/>
    <w:rsid w:val="00870002"/>
    <w:rsid w:val="00874D5D"/>
    <w:rsid w:val="00891C60"/>
    <w:rsid w:val="008942F0"/>
    <w:rsid w:val="008A2269"/>
    <w:rsid w:val="008A3541"/>
    <w:rsid w:val="008D0B29"/>
    <w:rsid w:val="008D45DB"/>
    <w:rsid w:val="0090214F"/>
    <w:rsid w:val="00915933"/>
    <w:rsid w:val="009163E6"/>
    <w:rsid w:val="00917006"/>
    <w:rsid w:val="009176E3"/>
    <w:rsid w:val="00946EEB"/>
    <w:rsid w:val="00963B1F"/>
    <w:rsid w:val="009760E8"/>
    <w:rsid w:val="00976DB3"/>
    <w:rsid w:val="0099203C"/>
    <w:rsid w:val="009947BA"/>
    <w:rsid w:val="00997F41"/>
    <w:rsid w:val="009A284F"/>
    <w:rsid w:val="009B7F47"/>
    <w:rsid w:val="009C5565"/>
    <w:rsid w:val="009C56B1"/>
    <w:rsid w:val="009C5E97"/>
    <w:rsid w:val="009D5226"/>
    <w:rsid w:val="009D62D5"/>
    <w:rsid w:val="009E1C6B"/>
    <w:rsid w:val="009E2FD4"/>
    <w:rsid w:val="00A22BF8"/>
    <w:rsid w:val="00A27790"/>
    <w:rsid w:val="00A32361"/>
    <w:rsid w:val="00A549EF"/>
    <w:rsid w:val="00A5647B"/>
    <w:rsid w:val="00A65DAD"/>
    <w:rsid w:val="00A738F2"/>
    <w:rsid w:val="00A86C18"/>
    <w:rsid w:val="00A87AD6"/>
    <w:rsid w:val="00A9132B"/>
    <w:rsid w:val="00AA1A5A"/>
    <w:rsid w:val="00AA6543"/>
    <w:rsid w:val="00AD23FB"/>
    <w:rsid w:val="00AE0294"/>
    <w:rsid w:val="00AE2DF7"/>
    <w:rsid w:val="00AF58CA"/>
    <w:rsid w:val="00AF70DA"/>
    <w:rsid w:val="00B02FFE"/>
    <w:rsid w:val="00B0634F"/>
    <w:rsid w:val="00B139D4"/>
    <w:rsid w:val="00B263FF"/>
    <w:rsid w:val="00B4202A"/>
    <w:rsid w:val="00B612F8"/>
    <w:rsid w:val="00B633CF"/>
    <w:rsid w:val="00B71A57"/>
    <w:rsid w:val="00B7307A"/>
    <w:rsid w:val="00B77EDA"/>
    <w:rsid w:val="00B90380"/>
    <w:rsid w:val="00BA0E3D"/>
    <w:rsid w:val="00BA35F0"/>
    <w:rsid w:val="00BB0D74"/>
    <w:rsid w:val="00BB1A2D"/>
    <w:rsid w:val="00BB49BA"/>
    <w:rsid w:val="00BC7E03"/>
    <w:rsid w:val="00BF7535"/>
    <w:rsid w:val="00C02454"/>
    <w:rsid w:val="00C114B9"/>
    <w:rsid w:val="00C16529"/>
    <w:rsid w:val="00C272F3"/>
    <w:rsid w:val="00C2735B"/>
    <w:rsid w:val="00C3477B"/>
    <w:rsid w:val="00C365A8"/>
    <w:rsid w:val="00C662E9"/>
    <w:rsid w:val="00C85956"/>
    <w:rsid w:val="00C85AE5"/>
    <w:rsid w:val="00C87862"/>
    <w:rsid w:val="00C9733D"/>
    <w:rsid w:val="00CA3783"/>
    <w:rsid w:val="00CB23F4"/>
    <w:rsid w:val="00CB38E1"/>
    <w:rsid w:val="00CD584E"/>
    <w:rsid w:val="00CD7BB0"/>
    <w:rsid w:val="00CF5EFB"/>
    <w:rsid w:val="00D136E4"/>
    <w:rsid w:val="00D16C30"/>
    <w:rsid w:val="00D33CBA"/>
    <w:rsid w:val="00D5334D"/>
    <w:rsid w:val="00D5523D"/>
    <w:rsid w:val="00D752C3"/>
    <w:rsid w:val="00D76174"/>
    <w:rsid w:val="00D84587"/>
    <w:rsid w:val="00D944DF"/>
    <w:rsid w:val="00DC0811"/>
    <w:rsid w:val="00DD110C"/>
    <w:rsid w:val="00DE61C2"/>
    <w:rsid w:val="00DE6D53"/>
    <w:rsid w:val="00DF7E4C"/>
    <w:rsid w:val="00E06E39"/>
    <w:rsid w:val="00E07D73"/>
    <w:rsid w:val="00E1225B"/>
    <w:rsid w:val="00E14EFF"/>
    <w:rsid w:val="00E17D18"/>
    <w:rsid w:val="00E232E4"/>
    <w:rsid w:val="00E30E67"/>
    <w:rsid w:val="00E33935"/>
    <w:rsid w:val="00E467C5"/>
    <w:rsid w:val="00E52ACF"/>
    <w:rsid w:val="00E6313D"/>
    <w:rsid w:val="00E752EC"/>
    <w:rsid w:val="00EB3832"/>
    <w:rsid w:val="00EC764D"/>
    <w:rsid w:val="00EE098A"/>
    <w:rsid w:val="00F02A8F"/>
    <w:rsid w:val="00F45265"/>
    <w:rsid w:val="00F513E0"/>
    <w:rsid w:val="00F566DA"/>
    <w:rsid w:val="00F84F5E"/>
    <w:rsid w:val="00FC2198"/>
    <w:rsid w:val="00FC283E"/>
    <w:rsid w:val="00FD5CD5"/>
    <w:rsid w:val="00FE605F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F653"/>
  <w15:docId w15:val="{CE405E30-56B3-46DD-B35D-9CBDF7D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F8"/>
    <w:rPr>
      <w:b/>
      <w:bCs/>
      <w:sz w:val="20"/>
      <w:szCs w:val="20"/>
    </w:rPr>
  </w:style>
  <w:style w:type="paragraph" w:customStyle="1" w:styleId="Default">
    <w:name w:val="Default"/>
    <w:rsid w:val="00C272F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87AD6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0C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rilic@unizd.hr" TargetMode="External"/><Relationship Id="rId13" Type="http://schemas.openxmlformats.org/officeDocument/2006/relationships/hyperlink" Target="mailto:anekic@unizd.h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bkasalo@unizd.h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cademia.edu/33216803/The_Roman_Conquest_of_Illyricum_Dalmatia_and_Pannonia_and_the_Problem_of_the_Northeastern_Border_of_Ital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erventi@unizd.h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cademia.edu/36201254/Romanization_of_the_Histri_in_the_Early_Roman_Period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atanic@unizd.h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urilic@unizd.hr" TargetMode="External"/><Relationship Id="rId14" Type="http://schemas.openxmlformats.org/officeDocument/2006/relationships/hyperlink" Target="https://www.academia.edu/35079410/Ancient_Greeks_in_Croatia_in_Croatia_-_aspects_of_art_architecture_and_cultural_heritage_Francis_Lincon_limited_London_2009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FBA3-7BC0-43F6-8F99-C94E3824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2022-10-19T09:24:00Z</cp:lastPrinted>
  <dcterms:created xsi:type="dcterms:W3CDTF">2024-05-21T09:45:00Z</dcterms:created>
  <dcterms:modified xsi:type="dcterms:W3CDTF">2024-05-21T09:45:00Z</dcterms:modified>
</cp:coreProperties>
</file>