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524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339"/>
      </w:tblGrid>
      <w:tr w:rsidR="004B553E" w:rsidRPr="0017531F" w14:paraId="2BE4CD9C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6721E22" w:rsidR="004B553E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768" w:type="dxa"/>
            <w:gridSpan w:val="4"/>
            <w:vAlign w:val="center"/>
          </w:tcPr>
          <w:p w14:paraId="63937B0F" w14:textId="3FFCFF15" w:rsidR="004B553E" w:rsidRPr="0017531F" w:rsidRDefault="00944C18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490E37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490E37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E2355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A9ACEFF" w:rsidR="004B553E" w:rsidRPr="00944C18" w:rsidRDefault="00490E3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Povijest svjetskog pomorstva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768" w:type="dxa"/>
            <w:gridSpan w:val="4"/>
          </w:tcPr>
          <w:p w14:paraId="778D544F" w14:textId="38D12460" w:rsidR="004B553E" w:rsidRPr="0017531F" w:rsidRDefault="007A5987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722" w:type="dxa"/>
            <w:gridSpan w:val="33"/>
            <w:shd w:val="clear" w:color="auto" w:fill="FFFFFF" w:themeFill="background1"/>
            <w:vAlign w:val="center"/>
          </w:tcPr>
          <w:p w14:paraId="5DDF46E3" w14:textId="5F3E0CED" w:rsidR="004B553E" w:rsidRPr="00944C18" w:rsidRDefault="00490E3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 w:rsidR="007A5987">
              <w:rPr>
                <w:rFonts w:ascii="Merriweather" w:hAnsi="Merriweather" w:cs="Times New Roman"/>
                <w:sz w:val="18"/>
                <w:szCs w:val="18"/>
              </w:rPr>
              <w:t>dv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>opredmetni studij povijesti</w:t>
            </w:r>
          </w:p>
        </w:tc>
      </w:tr>
      <w:tr w:rsidR="004B553E" w:rsidRPr="0017531F" w14:paraId="5A1EE132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9B18CB5" w:rsidR="004B553E" w:rsidRPr="0017531F" w:rsidRDefault="00DA77B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490E37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DA77B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DA77B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526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DA77B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5012899B" w:rsidR="004B553E" w:rsidRPr="0017531F" w:rsidRDefault="00DA77B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0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A3F514B" w:rsidR="004B553E" w:rsidRPr="0017531F" w:rsidRDefault="00DA77B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0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4C87F6A7" w:rsidR="004B553E" w:rsidRPr="0017531F" w:rsidRDefault="00DA77B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04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DA77B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735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DA77B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DA77B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C7B8014" w:rsidR="004B553E" w:rsidRPr="0017531F" w:rsidRDefault="00DA77BD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DA77B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0E0D9B52" w:rsidR="004B553E" w:rsidRPr="0017531F" w:rsidRDefault="00DA77B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8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DA77B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C6C0A66" w:rsidR="004B553E" w:rsidRPr="0017531F" w:rsidRDefault="00DA77B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8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DA77B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339" w:type="dxa"/>
            <w:vAlign w:val="center"/>
          </w:tcPr>
          <w:p w14:paraId="3C2813B3" w14:textId="5E09364C" w:rsidR="004B553E" w:rsidRPr="0017531F" w:rsidRDefault="00DA77B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8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CC59377" w:rsidR="00393964" w:rsidRPr="0017531F" w:rsidRDefault="00DA77B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DA77BD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DA77B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339" w:type="dxa"/>
            <w:vAlign w:val="center"/>
          </w:tcPr>
          <w:p w14:paraId="48FEFB1D" w14:textId="60196F15" w:rsidR="00393964" w:rsidRPr="0017531F" w:rsidRDefault="00DA77B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2443FD4" w:rsidR="00393964" w:rsidRPr="0017531F" w:rsidRDefault="00DA77B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43C4BEB" w:rsidR="00453362" w:rsidRPr="0017531F" w:rsidRDefault="00944C1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661EDEC" w:rsidR="00453362" w:rsidRPr="0017531F" w:rsidRDefault="00BC004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B2E491F" w:rsidR="00453362" w:rsidRPr="0017531F" w:rsidRDefault="00944C1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2048" w:type="dxa"/>
            <w:gridSpan w:val="6"/>
          </w:tcPr>
          <w:p w14:paraId="72EBEC83" w14:textId="6274B743" w:rsidR="00453362" w:rsidRPr="0017531F" w:rsidRDefault="00DA77B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98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4E2BEC1" w:rsidR="00453362" w:rsidRPr="00AA3FF4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755" w:type="dxa"/>
            <w:gridSpan w:val="11"/>
            <w:vAlign w:val="center"/>
          </w:tcPr>
          <w:p w14:paraId="391F86C6" w14:textId="32F417CD" w:rsidR="00453362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E235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01B8F42" w:rsidR="00453362" w:rsidRPr="00944C18" w:rsidRDefault="00490E3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755" w:type="dxa"/>
            <w:gridSpan w:val="11"/>
          </w:tcPr>
          <w:p w14:paraId="6DFC97B8" w14:textId="63243190" w:rsidR="00453362" w:rsidRPr="00944C18" w:rsidRDefault="00490E37" w:rsidP="00944C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722" w:type="dxa"/>
            <w:gridSpan w:val="33"/>
            <w:vAlign w:val="center"/>
          </w:tcPr>
          <w:p w14:paraId="08B22948" w14:textId="6BAC3B4A" w:rsidR="00453362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FE2355">
        <w:tc>
          <w:tcPr>
            <w:tcW w:w="9524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722" w:type="dxa"/>
            <w:gridSpan w:val="33"/>
            <w:vAlign w:val="center"/>
          </w:tcPr>
          <w:p w14:paraId="1F385C33" w14:textId="6EB161FA" w:rsidR="00453362" w:rsidRPr="00AA3FF4" w:rsidRDefault="00AA3FF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/>
                <w:sz w:val="18"/>
                <w:szCs w:val="18"/>
              </w:rPr>
              <w:t>Dr. sc. Milorad Pavić, redoviti profesor</w:t>
            </w:r>
          </w:p>
        </w:tc>
      </w:tr>
      <w:tr w:rsidR="00453362" w:rsidRPr="0017531F" w14:paraId="65EB9D09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42F19EF" w14:textId="221BE98D" w:rsidR="00944C18" w:rsidRDefault="00DA77B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490E37" w:rsidRPr="00021691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milo.pavic@gmail.com</w:t>
              </w:r>
            </w:hyperlink>
          </w:p>
          <w:p w14:paraId="66D33DC5" w14:textId="232F9A7B" w:rsidR="00490E37" w:rsidRPr="00AA3FF4" w:rsidRDefault="00DA77B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490E37" w:rsidRPr="00021691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mpavic@unizd.hr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AA3FF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526" w:type="dxa"/>
            <w:gridSpan w:val="9"/>
            <w:vAlign w:val="center"/>
          </w:tcPr>
          <w:p w14:paraId="784ABAC2" w14:textId="436589D0" w:rsidR="00453362" w:rsidRPr="00AA3FF4" w:rsidRDefault="00AA3FF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z w:val="18"/>
                <w:szCs w:val="18"/>
              </w:rPr>
              <w:t>12.00-13.00, četvrtak</w:t>
            </w:r>
          </w:p>
        </w:tc>
      </w:tr>
      <w:tr w:rsidR="00453362" w:rsidRPr="0017531F" w14:paraId="6DB7D834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722" w:type="dxa"/>
            <w:gridSpan w:val="33"/>
            <w:vAlign w:val="center"/>
          </w:tcPr>
          <w:p w14:paraId="2833FE84" w14:textId="70A6A437" w:rsidR="00453362" w:rsidRPr="00AA3FF4" w:rsidRDefault="00AA3FF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/>
                <w:sz w:val="18"/>
                <w:szCs w:val="18"/>
              </w:rPr>
              <w:t>Dr. sc. Milorad Pavić, redoviti profesor</w:t>
            </w:r>
          </w:p>
        </w:tc>
      </w:tr>
      <w:tr w:rsidR="00453362" w:rsidRPr="0017531F" w14:paraId="4952E3CE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4461EB9" w:rsidR="00944C18" w:rsidRPr="00AA3FF4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AA3FF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526" w:type="dxa"/>
            <w:gridSpan w:val="9"/>
            <w:vAlign w:val="center"/>
          </w:tcPr>
          <w:p w14:paraId="12790F76" w14:textId="41158855" w:rsidR="00453362" w:rsidRPr="00AA3FF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7531F" w14:paraId="6F889D73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722" w:type="dxa"/>
            <w:gridSpan w:val="33"/>
            <w:vAlign w:val="center"/>
          </w:tcPr>
          <w:p w14:paraId="171DDBDE" w14:textId="77777777" w:rsidR="00453362" w:rsidRPr="00AA3FF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7531F" w14:paraId="20C686C1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AA3FF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AA3FF4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526" w:type="dxa"/>
            <w:gridSpan w:val="9"/>
            <w:vAlign w:val="center"/>
          </w:tcPr>
          <w:p w14:paraId="486333C9" w14:textId="77777777" w:rsidR="00453362" w:rsidRPr="00AA3FF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7531F" w14:paraId="6FB26DA0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722" w:type="dxa"/>
            <w:gridSpan w:val="33"/>
            <w:vAlign w:val="center"/>
          </w:tcPr>
          <w:p w14:paraId="70866A8C" w14:textId="77777777" w:rsidR="00453362" w:rsidRPr="00AA3FF4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7531F" w14:paraId="31F4CDAA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526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FE2355">
        <w:tc>
          <w:tcPr>
            <w:tcW w:w="9524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E2355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A650109" w:rsidR="00453362" w:rsidRPr="0017531F" w:rsidRDefault="00DA77B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9681FE1" w:rsidR="00453362" w:rsidRPr="0017531F" w:rsidRDefault="00DA77B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40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DA77B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DA77B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735" w:type="dxa"/>
            <w:gridSpan w:val="3"/>
            <w:vAlign w:val="center"/>
          </w:tcPr>
          <w:p w14:paraId="3ACB308F" w14:textId="03C17ADE" w:rsidR="00453362" w:rsidRPr="0017531F" w:rsidRDefault="00DA77B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F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724A35E" w:rsidR="00453362" w:rsidRPr="0017531F" w:rsidRDefault="00DA77B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40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DA77B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DA77B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DA77B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735" w:type="dxa"/>
            <w:gridSpan w:val="3"/>
            <w:vAlign w:val="center"/>
          </w:tcPr>
          <w:p w14:paraId="44FC0068" w14:textId="77777777" w:rsidR="00453362" w:rsidRPr="0017531F" w:rsidRDefault="00DA77B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90E37" w:rsidRPr="0017531F" w14:paraId="78359DA1" w14:textId="77777777" w:rsidTr="00FE2355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227" w:type="dxa"/>
            <w:gridSpan w:val="26"/>
            <w:vAlign w:val="center"/>
          </w:tcPr>
          <w:p w14:paraId="4289A847" w14:textId="77777777" w:rsidR="00490E37" w:rsidRPr="009920A3" w:rsidRDefault="00490E37" w:rsidP="00490E3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upoznavanje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temeljnim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povijesnim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procesima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koji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 su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uvjetovali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razvitak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tijekom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cijele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povijesti;</w:t>
            </w:r>
          </w:p>
          <w:p w14:paraId="36097812" w14:textId="77777777" w:rsidR="00490E37" w:rsidRPr="009920A3" w:rsidRDefault="00490E37" w:rsidP="00490E3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spacing w:before="39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upoznavanje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temeljima</w:t>
            </w:r>
            <w:r w:rsidRPr="009920A3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terminologije</w:t>
            </w:r>
            <w:r w:rsidRPr="009920A3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bitne</w:t>
            </w:r>
            <w:r w:rsidRPr="009920A3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bolje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razumijevanje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kao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multidisciplinarne</w:t>
            </w:r>
            <w:r w:rsidRPr="009920A3">
              <w:rPr>
                <w:rFonts w:ascii="Merriweather" w:hAnsi="Merriweather" w:cs="Times New Roman"/>
                <w:spacing w:val="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djelatnosti;</w:t>
            </w:r>
          </w:p>
          <w:p w14:paraId="245020EF" w14:textId="77777777" w:rsidR="00490E37" w:rsidRPr="009920A3" w:rsidRDefault="00490E37" w:rsidP="00490E3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spacing w:before="34"/>
              <w:ind w:right="486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upoznavanje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rasponom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koje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su</w:t>
            </w:r>
            <w:r w:rsidRPr="009920A3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temeljne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1"/>
                <w:sz w:val="18"/>
                <w:szCs w:val="18"/>
              </w:rPr>
              <w:t>za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povijest</w:t>
            </w:r>
            <w:r w:rsidRPr="009920A3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pomorstva:</w:t>
            </w:r>
            <w:r w:rsidRPr="009920A3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luke,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lučki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uređaji,</w:t>
            </w:r>
            <w:r w:rsidRPr="009920A3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brod,</w:t>
            </w:r>
            <w:r w:rsidRPr="009920A3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brodogradnja,</w:t>
            </w:r>
            <w:r w:rsidRPr="009920A3">
              <w:rPr>
                <w:rFonts w:ascii="Merriweather" w:hAnsi="Merriweather" w:cs="Times New Roman"/>
                <w:spacing w:val="8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spoznaje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geografije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kartografije,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navigacijski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uređaji 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druga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brodska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oprema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bitna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orijentaciju</w:t>
            </w:r>
            <w:r w:rsidRPr="009920A3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moru,</w:t>
            </w:r>
            <w:r w:rsidRPr="009920A3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razvitak</w:t>
            </w:r>
            <w:r w:rsidRPr="009920A3">
              <w:rPr>
                <w:rFonts w:ascii="Merriweather" w:hAnsi="Merriweather" w:cs="Times New Roman"/>
                <w:spacing w:val="8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obrazovanja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pomoraca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sukladno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tehničko-tehnološkom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razvitku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pomorstva,</w:t>
            </w:r>
            <w:r w:rsidRPr="009920A3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pomorsko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zakonodavstvo,</w:t>
            </w:r>
            <w:r w:rsidRPr="009920A3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svjetioničarstvo,</w:t>
            </w:r>
            <w:r w:rsidRPr="009920A3">
              <w:rPr>
                <w:rFonts w:ascii="Merriweather" w:hAnsi="Merriweather" w:cs="Times New Roman"/>
                <w:spacing w:val="8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pomorski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ratovi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njihov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utjecaj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 na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pomorstvo;</w:t>
            </w:r>
          </w:p>
          <w:p w14:paraId="310C34DC" w14:textId="77777777" w:rsidR="00490E37" w:rsidRPr="009920A3" w:rsidRDefault="00490E37" w:rsidP="00490E3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ind w:right="183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njegovi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poticaji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razvitka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kopnene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trgovine</w:t>
            </w:r>
            <w:r w:rsidRPr="009920A3">
              <w:rPr>
                <w:rFonts w:ascii="Merriweather" w:hAnsi="Merriweather" w:cs="Times New Roman"/>
                <w:spacing w:val="1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-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luke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  kao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"mostovi"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 prema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kopnenim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koridorima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kojima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će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biti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slana</w:t>
            </w:r>
            <w:r w:rsidRPr="009920A3">
              <w:rPr>
                <w:rFonts w:ascii="Merriweather" w:hAnsi="Merriweather" w:cs="Times New Roman"/>
                <w:spacing w:val="107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roba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luka,</w:t>
            </w:r>
            <w:r w:rsidRPr="009920A3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ali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kojima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će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dolaziti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 roba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kopna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luke,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da</w:t>
            </w:r>
            <w:r w:rsidRPr="009920A3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 xml:space="preserve">bi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njih dalje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bila</w:t>
            </w:r>
            <w:r w:rsidRPr="009920A3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transportirana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na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druga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prekomorska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tržišta;</w:t>
            </w:r>
          </w:p>
          <w:p w14:paraId="13E2A08B" w14:textId="3C54B310" w:rsidR="00490E37" w:rsidRPr="009920A3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lastRenderedPageBreak/>
              <w:t>najvažnija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literatura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iz</w:t>
            </w:r>
            <w:r w:rsidRPr="009920A3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pomorstva,</w:t>
            </w:r>
            <w:r w:rsidRPr="009920A3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uključujući</w:t>
            </w:r>
            <w:r w:rsidRPr="009920A3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najvažnije</w:t>
            </w:r>
            <w:r w:rsidRPr="009920A3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povijesne</w:t>
            </w:r>
            <w:r w:rsidRPr="009920A3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9920A3">
              <w:rPr>
                <w:rFonts w:ascii="Merriweather" w:hAnsi="Merriweather" w:cs="Times New Roman"/>
                <w:sz w:val="18"/>
                <w:szCs w:val="18"/>
              </w:rPr>
              <w:t>izvore.</w:t>
            </w:r>
          </w:p>
        </w:tc>
      </w:tr>
      <w:tr w:rsidR="00490E37" w:rsidRPr="0017531F" w14:paraId="718BCF7B" w14:textId="77777777" w:rsidTr="00FE2355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6227" w:type="dxa"/>
            <w:gridSpan w:val="26"/>
            <w:vAlign w:val="center"/>
          </w:tcPr>
          <w:p w14:paraId="783E2260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02B9A541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27056324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14B91C39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1C7C6D68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6C7DF92F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37CD6813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5E1E7F3C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530414EF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5EA4037E" w14:textId="77777777" w:rsidR="00490E37" w:rsidRPr="009920A3" w:rsidRDefault="00490E37" w:rsidP="00490E37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5526DD7A" w14:textId="77777777" w:rsidR="00490E37" w:rsidRPr="009920A3" w:rsidRDefault="00490E37" w:rsidP="00490E37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4F0B6FF4" w14:textId="77777777" w:rsidR="00490E37" w:rsidRPr="009920A3" w:rsidRDefault="00490E37" w:rsidP="00490E37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04D2CD4B" w14:textId="77777777" w:rsidR="00490E37" w:rsidRPr="009920A3" w:rsidRDefault="00490E37" w:rsidP="00490E37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261A6E12" w14:textId="77777777" w:rsidR="00490E37" w:rsidRPr="009920A3" w:rsidRDefault="00490E37" w:rsidP="00490E37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920A3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5EFD6860" w:rsidR="00490E37" w:rsidRPr="00715403" w:rsidRDefault="00490E37" w:rsidP="00490E37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920A3">
              <w:rPr>
                <w:rFonts w:ascii="Merriweather" w:hAnsi="Merriweather" w:cs="Times New Roman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490E37" w:rsidRPr="0017531F" w14:paraId="6B814182" w14:textId="77777777" w:rsidTr="00FE2355">
        <w:tc>
          <w:tcPr>
            <w:tcW w:w="9524" w:type="dxa"/>
            <w:gridSpan w:val="34"/>
            <w:shd w:val="clear" w:color="auto" w:fill="D9D9D9" w:themeFill="background1" w:themeFillShade="D9"/>
          </w:tcPr>
          <w:p w14:paraId="1BA38710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90E37" w:rsidRPr="0017531F" w14:paraId="5E9C6D8F" w14:textId="77777777" w:rsidTr="00FE2355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4F98FF7" w:rsidR="00490E37" w:rsidRPr="0017531F" w:rsidRDefault="00DA77BD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490E37" w:rsidRPr="0017531F" w:rsidRDefault="00DA77BD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490E37" w:rsidRPr="0017531F" w:rsidRDefault="00DA77BD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490E37" w:rsidRPr="0017531F" w:rsidRDefault="00DA77BD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735" w:type="dxa"/>
            <w:gridSpan w:val="3"/>
            <w:vAlign w:val="center"/>
          </w:tcPr>
          <w:p w14:paraId="6CFA6FB5" w14:textId="77777777" w:rsidR="00490E37" w:rsidRPr="0017531F" w:rsidRDefault="00DA77BD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490E37" w:rsidRPr="0017531F" w14:paraId="7A6B5431" w14:textId="77777777" w:rsidTr="00FE235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490E37" w:rsidRPr="0017531F" w:rsidRDefault="00DA77BD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490E37" w:rsidRPr="0017531F" w:rsidRDefault="00DA77BD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52E863A" w:rsidR="00490E37" w:rsidRPr="0017531F" w:rsidRDefault="00DA77BD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490E37" w:rsidRPr="0017531F" w:rsidRDefault="00DA77BD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735" w:type="dxa"/>
            <w:gridSpan w:val="3"/>
            <w:vAlign w:val="center"/>
          </w:tcPr>
          <w:p w14:paraId="265A89F5" w14:textId="01BDF1AE" w:rsidR="00490E37" w:rsidRPr="0017531F" w:rsidRDefault="00DA77BD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490E37" w:rsidRPr="0017531F" w14:paraId="2834CD44" w14:textId="77777777" w:rsidTr="00FE235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490E37" w:rsidRPr="0017531F" w:rsidRDefault="00DA77BD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2B2A5C41" w:rsidR="00490E37" w:rsidRPr="0017531F" w:rsidRDefault="00DA77BD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6761E28" w:rsidR="00490E37" w:rsidRPr="0017531F" w:rsidRDefault="00DA77BD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232" w:type="dxa"/>
            <w:gridSpan w:val="12"/>
            <w:vAlign w:val="center"/>
          </w:tcPr>
          <w:p w14:paraId="0140A634" w14:textId="77777777" w:rsidR="00490E37" w:rsidRPr="0017531F" w:rsidRDefault="00DA77BD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490E37" w:rsidRPr="0017531F" w14:paraId="2B2B900D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722" w:type="dxa"/>
            <w:gridSpan w:val="33"/>
            <w:vAlign w:val="center"/>
          </w:tcPr>
          <w:p w14:paraId="61A5A804" w14:textId="4688F146" w:rsidR="00490E37" w:rsidRPr="00944C18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Pohađanje nastave u kvoti propisanoj od strane Sveučilišta.</w:t>
            </w:r>
          </w:p>
        </w:tc>
      </w:tr>
      <w:tr w:rsidR="00490E37" w:rsidRPr="0017531F" w14:paraId="71C89285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490E37" w:rsidRPr="0017531F" w:rsidRDefault="00DA77BD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A579906" w:rsidR="00490E37" w:rsidRPr="0017531F" w:rsidRDefault="00DA77BD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348" w:type="dxa"/>
            <w:gridSpan w:val="7"/>
          </w:tcPr>
          <w:p w14:paraId="20582D24" w14:textId="4C598634" w:rsidR="00490E37" w:rsidRPr="0017531F" w:rsidRDefault="00DA77BD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490E37" w:rsidRPr="0017531F" w14:paraId="1A30FCB5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490E37" w:rsidRPr="00FE2355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161E3446" w:rsidR="00490E37" w:rsidRPr="00FE2355" w:rsidRDefault="00DA77BD" w:rsidP="00490E37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490E37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348" w:type="dxa"/>
            <w:gridSpan w:val="7"/>
            <w:vAlign w:val="center"/>
          </w:tcPr>
          <w:p w14:paraId="346823C5" w14:textId="1E491F96" w:rsidR="00490E37" w:rsidRPr="0017531F" w:rsidRDefault="00DA77BD" w:rsidP="00490E37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="00490E37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490E37" w:rsidRPr="0017531F" w14:paraId="1F1C7616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722" w:type="dxa"/>
            <w:gridSpan w:val="33"/>
            <w:vAlign w:val="center"/>
          </w:tcPr>
          <w:p w14:paraId="232A0C09" w14:textId="2D31E280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Budući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da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multidisciplinarna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djelatnost,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studente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kroz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pregled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povijesnog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>tijeka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mjerilima,</w:t>
            </w:r>
            <w:r w:rsidRPr="00AA3FF4">
              <w:rPr>
                <w:rFonts w:ascii="Merriweather" w:hAnsi="Merriweather" w:cs="Times New Roman"/>
                <w:spacing w:val="127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upoznati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sa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svim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specifičnostima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ove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djelatnosti,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upozoravajući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n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razlike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pojedinim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povijesnim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razdobljima.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Istaći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najvažnije</w:t>
            </w:r>
            <w:r w:rsidRPr="00AA3FF4">
              <w:rPr>
                <w:rFonts w:ascii="Merriweather" w:hAnsi="Merriweather" w:cs="Times New Roman"/>
                <w:spacing w:val="10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domete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velesila kroz povijest s posebnim naglaskom na čimbenike koji su omogućili njihov uspon i razvoj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. Po mogućnosti uključiti različite oblike terenske nastave.</w:t>
            </w:r>
          </w:p>
        </w:tc>
      </w:tr>
      <w:tr w:rsidR="00490E37" w:rsidRPr="0017531F" w14:paraId="4BCB6E2A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722" w:type="dxa"/>
            <w:gridSpan w:val="33"/>
          </w:tcPr>
          <w:p w14:paraId="4BB2339F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1. Temeljne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značajke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 svjetskog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 – uvodno predavanje;</w:t>
            </w:r>
          </w:p>
          <w:p w14:paraId="0E7330A2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2. Starovjekovno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od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prvih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monoksila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do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rimskodobnih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trgovačkih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ratnih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brodova;</w:t>
            </w:r>
          </w:p>
          <w:p w14:paraId="741D7078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3. Srednjovjekovne mornarice: Bizant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kao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pomorska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velesila i sukobi s Arapima;</w:t>
            </w:r>
          </w:p>
          <w:p w14:paraId="28709F96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lastRenderedPageBreak/>
              <w:t>4. Značenje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pojave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kompasa,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latinskih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jedara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kormila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za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pomorstvo;</w:t>
            </w:r>
          </w:p>
          <w:p w14:paraId="03A6F7DE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5. Srednjovjekovno pomorstvo: pomorsko trgovačke države: Venecija, Genova, Pisa;</w:t>
            </w:r>
          </w:p>
          <w:p w14:paraId="377F9FDE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6. Srednjovjekovno pomorstvo: Sjeverna Europa i Hansa</w:t>
            </w:r>
          </w:p>
          <w:p w14:paraId="3624E589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7. Španjolci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i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Portugalci: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njihovo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pomorstvo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početak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velikih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geografskih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otkrića;</w:t>
            </w:r>
          </w:p>
          <w:p w14:paraId="40868319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8. Određivanje geografske širine i duljine na moru i instrumenti za njihovo određivanje;</w:t>
            </w:r>
          </w:p>
          <w:p w14:paraId="0360371E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9. Ranonovovjekovna pomorska kartografija;</w:t>
            </w:r>
          </w:p>
          <w:p w14:paraId="1D2F35FE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eastAsia="MS Gothic" w:hAnsi="Merriweather" w:cs="Times New Roman"/>
                <w:sz w:val="18"/>
                <w:szCs w:val="18"/>
              </w:rPr>
              <w:t>10. Konjunktura u brodarstvu: od galija do linijskih brodova;</w:t>
            </w:r>
          </w:p>
          <w:p w14:paraId="37371EAD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11. Pojava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parobroda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"borba"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jedra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pare;</w:t>
            </w:r>
          </w:p>
          <w:p w14:paraId="58A09EAD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12. Moderne mornarice do I. svjetskog rata;</w:t>
            </w:r>
          </w:p>
          <w:p w14:paraId="24F425CC" w14:textId="77777777" w:rsidR="00490E37" w:rsidRPr="00AA3FF4" w:rsidRDefault="00490E37" w:rsidP="00490E37">
            <w:pPr>
              <w:widowControl w:val="0"/>
              <w:tabs>
                <w:tab w:val="left" w:pos="820"/>
              </w:tabs>
              <w:spacing w:before="35"/>
              <w:ind w:left="36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z w:val="18"/>
                <w:szCs w:val="18"/>
              </w:rPr>
              <w:t>13, Svjetsko pomorstvo u 20. stoljeću;</w:t>
            </w:r>
          </w:p>
          <w:p w14:paraId="455AB982" w14:textId="77777777" w:rsidR="00490E37" w:rsidRPr="00AA3FF4" w:rsidRDefault="00490E37" w:rsidP="00490E37">
            <w:pPr>
              <w:widowControl w:val="0"/>
              <w:tabs>
                <w:tab w:val="left" w:pos="820"/>
              </w:tabs>
              <w:spacing w:before="40"/>
              <w:ind w:left="360"/>
              <w:rPr>
                <w:rFonts w:ascii="Merriweather" w:eastAsia="Arial Narrow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14. Najznačajnije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pomorske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bitke</w:t>
            </w:r>
            <w:r w:rsidRPr="00AA3FF4">
              <w:rPr>
                <w:rFonts w:ascii="Merriweather" w:hAnsi="Merriweather" w:cs="Times New Roman"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sukobi kroz povijest;</w:t>
            </w:r>
          </w:p>
          <w:p w14:paraId="6E3A408E" w14:textId="448B851F" w:rsidR="00490E37" w:rsidRPr="00AA3FF4" w:rsidRDefault="00490E37" w:rsidP="00490E37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15. Zaključni komentari i diskusije.</w:t>
            </w:r>
          </w:p>
        </w:tc>
      </w:tr>
      <w:tr w:rsidR="00490E37" w:rsidRPr="0017531F" w14:paraId="3D0DF717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722" w:type="dxa"/>
            <w:gridSpan w:val="33"/>
            <w:vAlign w:val="center"/>
          </w:tcPr>
          <w:p w14:paraId="0CABF6F9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FF"/>
                <w:spacing w:val="-1"/>
                <w:sz w:val="18"/>
                <w:szCs w:val="18"/>
                <w:u w:val="single" w:color="0000FF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Fragmenti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1. </w:t>
            </w:r>
            <w:r w:rsidRPr="00AA3FF4">
              <w:rPr>
                <w:rFonts w:ascii="Merriweather" w:hAnsi="Merriweather" w:cs="Times New Roman"/>
                <w:color w:val="0000FF"/>
                <w:sz w:val="18"/>
                <w:szCs w:val="18"/>
              </w:rPr>
              <w:t xml:space="preserve"> </w:t>
            </w:r>
            <w:hyperlink r:id="rId15">
              <w:r w:rsidRPr="00AA3FF4">
                <w:rPr>
                  <w:rFonts w:ascii="Merriweather" w:hAnsi="Merriweather" w:cs="Times New Roman"/>
                  <w:color w:val="0000FF"/>
                  <w:spacing w:val="-1"/>
                  <w:sz w:val="18"/>
                  <w:szCs w:val="18"/>
                  <w:u w:val="single" w:color="0000FF"/>
                </w:rPr>
                <w:t>http://www.unizd.hr/povijest/Nastava/Nastavnimat/tabid/278/Default.aspx</w:t>
              </w:r>
            </w:hyperlink>
          </w:p>
          <w:p w14:paraId="3C2E5F50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FF"/>
                <w:spacing w:val="-1"/>
                <w:sz w:val="18"/>
                <w:szCs w:val="18"/>
                <w:u w:val="single" w:color="0000FF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Fragmenti</w:t>
            </w:r>
            <w:r w:rsidRPr="00AA3FF4">
              <w:rPr>
                <w:rFonts w:ascii="Merriweather" w:hAnsi="Merriweather" w:cs="Times New Roman"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svjetske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povijesti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pomorstva</w:t>
            </w:r>
            <w:r w:rsidRPr="00AA3FF4">
              <w:rPr>
                <w:rFonts w:ascii="Merriweather" w:hAnsi="Merriweather" w:cs="Times New Roman"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2. </w:t>
            </w:r>
            <w:r w:rsidRPr="00AA3FF4">
              <w:rPr>
                <w:rFonts w:ascii="Merriweather" w:hAnsi="Merriweather" w:cs="Times New Roman"/>
                <w:color w:val="0000FF"/>
                <w:sz w:val="18"/>
                <w:szCs w:val="18"/>
              </w:rPr>
              <w:t xml:space="preserve"> </w:t>
            </w:r>
            <w:hyperlink r:id="rId16">
              <w:r w:rsidRPr="00AA3FF4">
                <w:rPr>
                  <w:rFonts w:ascii="Merriweather" w:hAnsi="Merriweather" w:cs="Times New Roman"/>
                  <w:color w:val="0000FF"/>
                  <w:spacing w:val="-1"/>
                  <w:sz w:val="18"/>
                  <w:szCs w:val="18"/>
                  <w:u w:val="single" w:color="0000FF"/>
                </w:rPr>
                <w:t>http://www.unizd.hr/povijest/Nastava/Nastavnimat/tabid/278/Default.aspx</w:t>
              </w:r>
            </w:hyperlink>
          </w:p>
          <w:p w14:paraId="5A0B4405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M. Pavić: Vještina plovidbe: navigacija svjetskim morima u doba velikih geografskih otkrića, Sveučilište u Zadru: Zadar, 2021.</w:t>
            </w:r>
          </w:p>
          <w:p w14:paraId="0B89B5BE" w14:textId="7D3D6A59" w:rsidR="00490E37" w:rsidRPr="0017531F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Prezentacije iz svjetske povijesti pomorstva pripremljene za kolegij (autor M. Pavić).</w:t>
            </w:r>
          </w:p>
        </w:tc>
      </w:tr>
      <w:tr w:rsidR="00490E37" w:rsidRPr="0017531F" w14:paraId="4FA6F90E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722" w:type="dxa"/>
            <w:gridSpan w:val="33"/>
            <w:vAlign w:val="center"/>
          </w:tcPr>
          <w:p w14:paraId="780CDF36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F.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Braudel,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Sredozemlje</w:t>
            </w:r>
            <w:r w:rsidRPr="00AA3FF4">
              <w:rPr>
                <w:rFonts w:ascii="Merriweather" w:hAnsi="Merriweather" w:cs="Times New Roman"/>
                <w:i/>
                <w:spacing w:val="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i</w:t>
            </w:r>
            <w:r w:rsidRPr="00AA3FF4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sredozemni</w:t>
            </w:r>
            <w:r w:rsidRPr="00AA3FF4">
              <w:rPr>
                <w:rFonts w:ascii="Merriweather" w:hAnsi="Merriweather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svijet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u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doba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Filipa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II.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1.-2.,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Zagreb,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1997.-1998.</w:t>
            </w:r>
          </w:p>
          <w:p w14:paraId="20DC010C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J. Cook,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Putovanja oko svijeta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, Slobodna Dalmacija: Split, 2007;</w:t>
            </w:r>
          </w:p>
          <w:p w14:paraId="3320E886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J. B. Hattendorf (ur.), The Oxford encyclopedia of Maritime history, sv.I-IV, Oxford University press, 2007, (odabrani članci).</w:t>
            </w:r>
          </w:p>
          <w:p w14:paraId="10853B3E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D. Launer, Navigation Through the Ages, New York: Sheridan House Inc., 2009.</w:t>
            </w:r>
          </w:p>
          <w:p w14:paraId="623E75D7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Pomorska enciklopedija, sv. I-VIII, 1972-1989, (odabrani članci).</w:t>
            </w:r>
          </w:p>
          <w:p w14:paraId="113B9B6A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1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pacing w:val="1"/>
                <w:sz w:val="18"/>
                <w:szCs w:val="18"/>
              </w:rPr>
              <w:t xml:space="preserve">C. G. Reynolds, </w:t>
            </w:r>
            <w:r w:rsidRPr="00AA3FF4">
              <w:rPr>
                <w:rFonts w:ascii="Merriweather" w:hAnsi="Merriweather" w:cs="Times New Roman"/>
                <w:i/>
                <w:spacing w:val="1"/>
                <w:sz w:val="18"/>
                <w:szCs w:val="18"/>
              </w:rPr>
              <w:t>Command of the sea: History and Strategy of Maritime Empires</w:t>
            </w:r>
            <w:r w:rsidRPr="00AA3FF4">
              <w:rPr>
                <w:rFonts w:ascii="Merriweather" w:hAnsi="Merriweather" w:cs="Times New Roman"/>
                <w:spacing w:val="1"/>
                <w:sz w:val="18"/>
                <w:szCs w:val="18"/>
              </w:rPr>
              <w:t>, New York: Morrow, 1974.</w:t>
            </w:r>
          </w:p>
          <w:p w14:paraId="36C5F0F9" w14:textId="77777777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pacing w:val="-5"/>
                <w:sz w:val="18"/>
                <w:szCs w:val="18"/>
              </w:rPr>
            </w:pPr>
            <w:r w:rsidRPr="00AA3FF4">
              <w:rPr>
                <w:rFonts w:ascii="Merriweather" w:hAnsi="Merriweather" w:cs="Times New Roman"/>
                <w:sz w:val="18"/>
                <w:szCs w:val="18"/>
              </w:rPr>
              <w:t>J.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Vasiljević</w:t>
            </w:r>
            <w:r w:rsidRPr="00AA3FF4">
              <w:rPr>
                <w:rFonts w:ascii="Merriweather" w:hAnsi="Merriweather" w:cs="Times New Roman"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-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 xml:space="preserve"> B.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Visković,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Velike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pomorske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bitke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i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operacije</w:t>
            </w:r>
            <w:r w:rsidRPr="00AA3FF4">
              <w:rPr>
                <w:rFonts w:ascii="Merriweather" w:hAnsi="Merriweather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kroz</w:t>
            </w:r>
            <w:r w:rsidRPr="00AA3FF4">
              <w:rPr>
                <w:rFonts w:ascii="Merriweather" w:hAnsi="Merriweather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i/>
                <w:spacing w:val="-1"/>
                <w:sz w:val="18"/>
                <w:szCs w:val="18"/>
              </w:rPr>
              <w:t>istoriju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,</w:t>
            </w:r>
            <w:r w:rsidRPr="00AA3FF4">
              <w:rPr>
                <w:rFonts w:ascii="Merriweather" w:hAnsi="Merriweather" w:cs="Times New Roman"/>
                <w:spacing w:val="101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Beograd,</w:t>
            </w:r>
            <w:r w:rsidRPr="00AA3FF4">
              <w:rPr>
                <w:rFonts w:ascii="Merriweather" w:hAnsi="Merriweather" w:cs="Times New Roman"/>
                <w:spacing w:val="-5"/>
                <w:sz w:val="18"/>
                <w:szCs w:val="18"/>
              </w:rPr>
              <w:t xml:space="preserve"> </w:t>
            </w:r>
            <w:r w:rsidRPr="00AA3FF4">
              <w:rPr>
                <w:rFonts w:ascii="Merriweather" w:hAnsi="Merriweather" w:cs="Times New Roman"/>
                <w:spacing w:val="-1"/>
                <w:sz w:val="18"/>
                <w:szCs w:val="18"/>
              </w:rPr>
              <w:t>1975.</w:t>
            </w:r>
          </w:p>
          <w:p w14:paraId="63D07860" w14:textId="590C3F78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8"/>
                <w:szCs w:val="18"/>
              </w:rPr>
              <w:t xml:space="preserve">S. Zweig, </w:t>
            </w:r>
            <w:r w:rsidRPr="00AA3FF4">
              <w:rPr>
                <w:rFonts w:ascii="Merriweather" w:hAnsi="Merriweather" w:cs="Times New Roman"/>
                <w:i/>
                <w:sz w:val="18"/>
                <w:szCs w:val="18"/>
              </w:rPr>
              <w:t>Magellan</w:t>
            </w:r>
            <w:r w:rsidRPr="00AA3FF4">
              <w:rPr>
                <w:rFonts w:ascii="Merriweather" w:hAnsi="Merriweather" w:cs="Times New Roman"/>
                <w:sz w:val="18"/>
                <w:szCs w:val="18"/>
              </w:rPr>
              <w:t>, Split: Slobodna Dalmacija, 2005.</w:t>
            </w:r>
          </w:p>
        </w:tc>
      </w:tr>
      <w:tr w:rsidR="00490E37" w:rsidRPr="0017531F" w14:paraId="61074D84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722" w:type="dxa"/>
            <w:gridSpan w:val="33"/>
            <w:vAlign w:val="center"/>
          </w:tcPr>
          <w:p w14:paraId="3DCC4888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90E37" w:rsidRPr="0017531F" w14:paraId="3D7994FE" w14:textId="77777777" w:rsidTr="00FE2355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968" w:type="dxa"/>
            <w:gridSpan w:val="5"/>
          </w:tcPr>
          <w:p w14:paraId="0555891B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90E37" w:rsidRPr="0017531F" w14:paraId="34BBCECE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490E37" w:rsidRPr="0017531F" w:rsidRDefault="00DA77BD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490E37" w:rsidRPr="0017531F" w:rsidRDefault="00490E37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62227739" w:rsidR="00490E37" w:rsidRPr="0017531F" w:rsidRDefault="00DA77BD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490E37" w:rsidRPr="0017531F" w:rsidRDefault="00490E37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225BA964" w:rsidR="00490E37" w:rsidRPr="0017531F" w:rsidRDefault="00DA77BD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968" w:type="dxa"/>
            <w:gridSpan w:val="5"/>
            <w:vAlign w:val="center"/>
          </w:tcPr>
          <w:p w14:paraId="202E8BF4" w14:textId="77777777" w:rsidR="00490E37" w:rsidRPr="0017531F" w:rsidRDefault="00DA77BD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490E37" w:rsidRPr="0017531F" w14:paraId="6A42594D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490E37" w:rsidRPr="0017531F" w:rsidRDefault="00DA77BD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490E37" w:rsidRPr="0017531F" w:rsidRDefault="00DA77BD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490E37" w:rsidRPr="0017531F" w:rsidRDefault="00DA77BD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490E37" w:rsidRPr="0017531F" w:rsidRDefault="00490E37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490E37" w:rsidRPr="0017531F" w:rsidRDefault="00DA77BD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490E37" w:rsidRPr="0017531F" w:rsidRDefault="00490E37" w:rsidP="00490E3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490E37" w:rsidRPr="0017531F" w:rsidRDefault="00DA77BD" w:rsidP="00490E3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419" w:type="dxa"/>
            <w:gridSpan w:val="2"/>
            <w:vAlign w:val="center"/>
          </w:tcPr>
          <w:p w14:paraId="18A76E62" w14:textId="77777777" w:rsidR="00490E37" w:rsidRPr="0017531F" w:rsidRDefault="00DA77BD" w:rsidP="00490E3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90E3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490E37" w:rsidRPr="0017531F" w14:paraId="2471899A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722" w:type="dxa"/>
            <w:gridSpan w:val="33"/>
            <w:vAlign w:val="center"/>
          </w:tcPr>
          <w:p w14:paraId="646F7F3F" w14:textId="5C2BB553" w:rsidR="00490E37" w:rsidRPr="006E4ED7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E4ED7">
              <w:rPr>
                <w:rFonts w:ascii="Merriweather" w:eastAsia="MS Gothic" w:hAnsi="Merriweather" w:cs="Times New Roman"/>
                <w:sz w:val="18"/>
              </w:rPr>
              <w:t>100% završni ispit.</w:t>
            </w:r>
          </w:p>
        </w:tc>
      </w:tr>
      <w:tr w:rsidR="00490E37" w:rsidRPr="0017531F" w14:paraId="2A0DAED1" w14:textId="77777777" w:rsidTr="00FE2355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F3C294F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50</w:t>
            </w:r>
          </w:p>
        </w:tc>
        <w:tc>
          <w:tcPr>
            <w:tcW w:w="6297" w:type="dxa"/>
            <w:gridSpan w:val="27"/>
            <w:vAlign w:val="center"/>
          </w:tcPr>
          <w:p w14:paraId="1D503BAA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90E37" w:rsidRPr="0017531F" w14:paraId="209DA332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2099218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51-60</w:t>
            </w:r>
          </w:p>
        </w:tc>
        <w:tc>
          <w:tcPr>
            <w:tcW w:w="6297" w:type="dxa"/>
            <w:gridSpan w:val="27"/>
            <w:vAlign w:val="center"/>
          </w:tcPr>
          <w:p w14:paraId="11E1DB10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90E37" w:rsidRPr="0017531F" w14:paraId="0B474406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43666C1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61-75</w:t>
            </w:r>
          </w:p>
        </w:tc>
        <w:tc>
          <w:tcPr>
            <w:tcW w:w="6297" w:type="dxa"/>
            <w:gridSpan w:val="27"/>
            <w:vAlign w:val="center"/>
          </w:tcPr>
          <w:p w14:paraId="71740741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90E37" w:rsidRPr="0017531F" w14:paraId="798950E9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610D141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76-90</w:t>
            </w:r>
          </w:p>
        </w:tc>
        <w:tc>
          <w:tcPr>
            <w:tcW w:w="6297" w:type="dxa"/>
            <w:gridSpan w:val="27"/>
            <w:vAlign w:val="center"/>
          </w:tcPr>
          <w:p w14:paraId="2AEA4C99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90E37" w:rsidRPr="0017531F" w14:paraId="6D158B9E" w14:textId="77777777" w:rsidTr="00FE2355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E38A4F8" w:rsidR="00490E37" w:rsidRPr="00AA3FF4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A3FF4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297" w:type="dxa"/>
            <w:gridSpan w:val="27"/>
            <w:vAlign w:val="center"/>
          </w:tcPr>
          <w:p w14:paraId="5EEE0A7F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490E37" w:rsidRPr="0017531F" w14:paraId="664DE470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722" w:type="dxa"/>
            <w:gridSpan w:val="33"/>
            <w:vAlign w:val="center"/>
          </w:tcPr>
          <w:p w14:paraId="27BCEF03" w14:textId="77777777" w:rsidR="00490E37" w:rsidRPr="0017531F" w:rsidRDefault="00DA77BD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490E37" w:rsidRPr="0017531F" w:rsidRDefault="00DA77BD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490E37" w:rsidRPr="0017531F" w:rsidRDefault="00DA77BD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490E37" w:rsidRPr="0017531F" w:rsidRDefault="00DA77BD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490E37" w:rsidRPr="0017531F" w:rsidRDefault="00DA77BD" w:rsidP="00490E3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3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90E3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90E37" w:rsidRPr="0017531F" w14:paraId="475F0C66" w14:textId="77777777" w:rsidTr="00FE2355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490E37" w:rsidRPr="0017531F" w:rsidRDefault="00490E37" w:rsidP="00490E3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722" w:type="dxa"/>
            <w:gridSpan w:val="33"/>
            <w:shd w:val="clear" w:color="auto" w:fill="auto"/>
          </w:tcPr>
          <w:p w14:paraId="02B1DDEE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7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6940EA7" w:rsidR="00490E37" w:rsidRPr="0017531F" w:rsidRDefault="00490E37" w:rsidP="00490E3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DA1A" w14:textId="77777777" w:rsidR="00DA77BD" w:rsidRDefault="00DA77BD" w:rsidP="009947BA">
      <w:pPr>
        <w:spacing w:before="0" w:after="0"/>
      </w:pPr>
      <w:r>
        <w:separator/>
      </w:r>
    </w:p>
  </w:endnote>
  <w:endnote w:type="continuationSeparator" w:id="0">
    <w:p w14:paraId="0E488D62" w14:textId="77777777" w:rsidR="00DA77BD" w:rsidRDefault="00DA77B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9D2D" w14:textId="77777777" w:rsidR="00DA77BD" w:rsidRDefault="00DA77BD" w:rsidP="009947BA">
      <w:pPr>
        <w:spacing w:before="0" w:after="0"/>
      </w:pPr>
      <w:r>
        <w:separator/>
      </w:r>
    </w:p>
  </w:footnote>
  <w:footnote w:type="continuationSeparator" w:id="0">
    <w:p w14:paraId="2A96CE02" w14:textId="77777777" w:rsidR="00DA77BD" w:rsidRDefault="00DA77BD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758C"/>
    <w:multiLevelType w:val="hybridMultilevel"/>
    <w:tmpl w:val="357E7358"/>
    <w:lvl w:ilvl="0" w:tplc="DD5239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06A18"/>
    <w:multiLevelType w:val="hybridMultilevel"/>
    <w:tmpl w:val="D6307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0F79C3"/>
    <w:rsid w:val="0010332B"/>
    <w:rsid w:val="001443A2"/>
    <w:rsid w:val="00150B32"/>
    <w:rsid w:val="0017531F"/>
    <w:rsid w:val="00197510"/>
    <w:rsid w:val="001A0A45"/>
    <w:rsid w:val="001C7C51"/>
    <w:rsid w:val="001F04F2"/>
    <w:rsid w:val="00226462"/>
    <w:rsid w:val="0022722C"/>
    <w:rsid w:val="00251570"/>
    <w:rsid w:val="0028545A"/>
    <w:rsid w:val="002D2A11"/>
    <w:rsid w:val="002E1CE6"/>
    <w:rsid w:val="002F2D22"/>
    <w:rsid w:val="00310F9A"/>
    <w:rsid w:val="00325589"/>
    <w:rsid w:val="00326091"/>
    <w:rsid w:val="003314D0"/>
    <w:rsid w:val="00357643"/>
    <w:rsid w:val="00371634"/>
    <w:rsid w:val="00386E9C"/>
    <w:rsid w:val="00393964"/>
    <w:rsid w:val="003D7529"/>
    <w:rsid w:val="003F11B6"/>
    <w:rsid w:val="003F17B8"/>
    <w:rsid w:val="00444BE7"/>
    <w:rsid w:val="00453362"/>
    <w:rsid w:val="00461219"/>
    <w:rsid w:val="00464826"/>
    <w:rsid w:val="00470F6D"/>
    <w:rsid w:val="00483BC3"/>
    <w:rsid w:val="00490E37"/>
    <w:rsid w:val="004B1B3D"/>
    <w:rsid w:val="004B553E"/>
    <w:rsid w:val="004E4C1E"/>
    <w:rsid w:val="00503480"/>
    <w:rsid w:val="00507C65"/>
    <w:rsid w:val="00527C5F"/>
    <w:rsid w:val="005353ED"/>
    <w:rsid w:val="005514C3"/>
    <w:rsid w:val="00574591"/>
    <w:rsid w:val="005E1668"/>
    <w:rsid w:val="005E4BC0"/>
    <w:rsid w:val="005E4EAF"/>
    <w:rsid w:val="005E5F80"/>
    <w:rsid w:val="005F6E0B"/>
    <w:rsid w:val="0062328F"/>
    <w:rsid w:val="006700B0"/>
    <w:rsid w:val="00684BBC"/>
    <w:rsid w:val="006B4920"/>
    <w:rsid w:val="006E4ED7"/>
    <w:rsid w:val="00700D7A"/>
    <w:rsid w:val="007119F6"/>
    <w:rsid w:val="00715403"/>
    <w:rsid w:val="00721260"/>
    <w:rsid w:val="007361E7"/>
    <w:rsid w:val="007368EB"/>
    <w:rsid w:val="0078125F"/>
    <w:rsid w:val="00794496"/>
    <w:rsid w:val="007967CC"/>
    <w:rsid w:val="0079745E"/>
    <w:rsid w:val="00797B40"/>
    <w:rsid w:val="007A5987"/>
    <w:rsid w:val="007C43A4"/>
    <w:rsid w:val="007C73B9"/>
    <w:rsid w:val="007D4D2D"/>
    <w:rsid w:val="008336F0"/>
    <w:rsid w:val="00865776"/>
    <w:rsid w:val="00874D5D"/>
    <w:rsid w:val="00891C60"/>
    <w:rsid w:val="008942F0"/>
    <w:rsid w:val="008D45DB"/>
    <w:rsid w:val="0090214F"/>
    <w:rsid w:val="009163E6"/>
    <w:rsid w:val="00944C18"/>
    <w:rsid w:val="00950C63"/>
    <w:rsid w:val="009760E8"/>
    <w:rsid w:val="009920A3"/>
    <w:rsid w:val="009947BA"/>
    <w:rsid w:val="00997F41"/>
    <w:rsid w:val="009A3A9D"/>
    <w:rsid w:val="009C56B1"/>
    <w:rsid w:val="009D5226"/>
    <w:rsid w:val="009E2FD4"/>
    <w:rsid w:val="00A06750"/>
    <w:rsid w:val="00A25AD4"/>
    <w:rsid w:val="00A9132B"/>
    <w:rsid w:val="00A9385A"/>
    <w:rsid w:val="00AA1A5A"/>
    <w:rsid w:val="00AA3FF4"/>
    <w:rsid w:val="00AB0A3F"/>
    <w:rsid w:val="00AB46BD"/>
    <w:rsid w:val="00AD23FB"/>
    <w:rsid w:val="00B33287"/>
    <w:rsid w:val="00B71A57"/>
    <w:rsid w:val="00B7307A"/>
    <w:rsid w:val="00BC0042"/>
    <w:rsid w:val="00BC5B09"/>
    <w:rsid w:val="00C02454"/>
    <w:rsid w:val="00C3477B"/>
    <w:rsid w:val="00C6284F"/>
    <w:rsid w:val="00C85956"/>
    <w:rsid w:val="00C85ED2"/>
    <w:rsid w:val="00C9733D"/>
    <w:rsid w:val="00CA3783"/>
    <w:rsid w:val="00CB23F4"/>
    <w:rsid w:val="00D136E4"/>
    <w:rsid w:val="00D5334D"/>
    <w:rsid w:val="00D5523D"/>
    <w:rsid w:val="00D857C7"/>
    <w:rsid w:val="00D944DF"/>
    <w:rsid w:val="00DA77BD"/>
    <w:rsid w:val="00DD110C"/>
    <w:rsid w:val="00DE6D53"/>
    <w:rsid w:val="00DE77D4"/>
    <w:rsid w:val="00E06E39"/>
    <w:rsid w:val="00E07D73"/>
    <w:rsid w:val="00E17D18"/>
    <w:rsid w:val="00E30E67"/>
    <w:rsid w:val="00EB5A72"/>
    <w:rsid w:val="00F02A8F"/>
    <w:rsid w:val="00F07759"/>
    <w:rsid w:val="00F22855"/>
    <w:rsid w:val="00F23566"/>
    <w:rsid w:val="00F513E0"/>
    <w:rsid w:val="00F566DA"/>
    <w:rsid w:val="00F82834"/>
    <w:rsid w:val="00F84F5E"/>
    <w:rsid w:val="00FC2198"/>
    <w:rsid w:val="00FC283E"/>
    <w:rsid w:val="00FE2355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944C18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90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vijest.unizd.hr/izvedbeni-plan-nastave/ispitni-termini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pavic@unizd.hr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nizd.hr/povijest/Nastava/Nastavnimat/tabid/278/Default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o.pavic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vijest/Nastava/Nastavnimat/tabid/278/Default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vijest.unizd.hr/izvedbeni-plan-nastave/ispitni-termi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764F55-3C45-4B8A-89EB-AB1F732272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4</cp:revision>
  <cp:lastPrinted>2021-02-12T11:27:00Z</cp:lastPrinted>
  <dcterms:created xsi:type="dcterms:W3CDTF">2024-05-23T07:44:00Z</dcterms:created>
  <dcterms:modified xsi:type="dcterms:W3CDTF">2024-05-23T07:52:00Z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