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AA1A5A" w:rsidRDefault="00733884" w:rsidP="00733884">
      <w:pPr>
        <w:rPr>
          <w:rFonts w:ascii="Times New Roman" w:hAnsi="Times New Roman"/>
          <w:b/>
          <w:sz w:val="24"/>
        </w:rPr>
      </w:pPr>
      <w:r w:rsidRPr="00AA1A5A">
        <w:rPr>
          <w:rFonts w:ascii="Times New Roman" w:hAnsi="Times New Roman"/>
          <w:b/>
          <w:sz w:val="24"/>
        </w:rPr>
        <w:t>Obrazac</w:t>
      </w:r>
      <w:r>
        <w:rPr>
          <w:rFonts w:ascii="Times New Roman" w:hAnsi="Times New Roman"/>
          <w:b/>
          <w:sz w:val="24"/>
        </w:rPr>
        <w:t xml:space="preserve"> 1.3.2. Izvedbeni plan nastave (</w:t>
      </w:r>
      <w:r w:rsidRPr="00AA1A5A">
        <w:rPr>
          <w:rFonts w:ascii="Times New Roman" w:hAnsi="Times New Roman"/>
          <w:b/>
          <w:i/>
          <w:sz w:val="24"/>
        </w:rPr>
        <w:t>syllabus</w:t>
      </w:r>
      <w:r>
        <w:rPr>
          <w:rFonts w:ascii="Times New Roman" w:hAnsi="Times New Roman"/>
          <w:b/>
          <w:sz w:val="24"/>
        </w:rPr>
        <w:t>)</w:t>
      </w:r>
      <w:r>
        <w:rPr>
          <w:rStyle w:val="FootnoteReference"/>
          <w:rFonts w:ascii="Times New Roman" w:hAnsi="Times New Roman"/>
          <w:b/>
          <w:sz w:val="24"/>
        </w:rPr>
        <w:footnoteReference w:customMarkFollows="1" w:id="2"/>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733884" w:rsidRPr="00B05A3F" w:rsidTr="00774297">
        <w:tc>
          <w:tcPr>
            <w:tcW w:w="1801" w:type="dxa"/>
            <w:shd w:val="clear" w:color="auto" w:fill="F2F2F2"/>
            <w:vAlign w:val="center"/>
          </w:tcPr>
          <w:p w:rsidR="00733884" w:rsidRPr="00B05A3F" w:rsidRDefault="00733884" w:rsidP="00774297">
            <w:pPr>
              <w:spacing w:before="20" w:after="20"/>
              <w:rPr>
                <w:rFonts w:ascii="Times New Roman" w:hAnsi="Times New Roman"/>
                <w:b/>
              </w:rPr>
            </w:pPr>
            <w:r w:rsidRPr="00B05A3F">
              <w:rPr>
                <w:rFonts w:ascii="Times New Roman" w:hAnsi="Times New Roman"/>
                <w:b/>
              </w:rPr>
              <w:t xml:space="preserve">Naziv kolegija </w:t>
            </w:r>
          </w:p>
        </w:tc>
        <w:tc>
          <w:tcPr>
            <w:tcW w:w="5196" w:type="dxa"/>
            <w:gridSpan w:val="23"/>
            <w:vAlign w:val="center"/>
          </w:tcPr>
          <w:p w:rsidR="00733884" w:rsidRPr="00B05A3F" w:rsidRDefault="00733884" w:rsidP="00733884">
            <w:pPr>
              <w:spacing w:before="20" w:after="20"/>
              <w:rPr>
                <w:rFonts w:ascii="Times New Roman" w:hAnsi="Times New Roman"/>
                <w:b/>
                <w:sz w:val="20"/>
              </w:rPr>
            </w:pPr>
            <w:r>
              <w:rPr>
                <w:rFonts w:ascii="Times New Roman" w:hAnsi="Times New Roman"/>
                <w:b/>
                <w:sz w:val="20"/>
              </w:rPr>
              <w:t>MODALNA LOGIKA</w:t>
            </w:r>
          </w:p>
        </w:tc>
        <w:tc>
          <w:tcPr>
            <w:tcW w:w="758" w:type="dxa"/>
            <w:gridSpan w:val="3"/>
            <w:shd w:val="clear" w:color="auto" w:fill="F2F2F2"/>
          </w:tcPr>
          <w:p w:rsidR="00733884" w:rsidRPr="00B05A3F" w:rsidRDefault="00733884" w:rsidP="00774297">
            <w:pPr>
              <w:spacing w:before="20" w:after="20"/>
              <w:jc w:val="center"/>
              <w:rPr>
                <w:rFonts w:ascii="Times New Roman" w:hAnsi="Times New Roman"/>
                <w:b/>
                <w:sz w:val="20"/>
              </w:rPr>
            </w:pPr>
            <w:r w:rsidRPr="00B05A3F">
              <w:rPr>
                <w:rFonts w:ascii="Times New Roman" w:hAnsi="Times New Roman"/>
                <w:b/>
                <w:sz w:val="20"/>
              </w:rPr>
              <w:t>akad. god.</w:t>
            </w:r>
          </w:p>
        </w:tc>
        <w:tc>
          <w:tcPr>
            <w:tcW w:w="1533" w:type="dxa"/>
            <w:gridSpan w:val="4"/>
            <w:vAlign w:val="center"/>
          </w:tcPr>
          <w:p w:rsidR="00733884" w:rsidRPr="00B05A3F" w:rsidRDefault="00733884" w:rsidP="00774297">
            <w:pPr>
              <w:spacing w:before="20" w:after="20"/>
              <w:jc w:val="center"/>
              <w:rPr>
                <w:rFonts w:ascii="Times New Roman" w:hAnsi="Times New Roman"/>
                <w:sz w:val="20"/>
              </w:rPr>
            </w:pPr>
            <w:r w:rsidRPr="00B05A3F">
              <w:rPr>
                <w:rFonts w:ascii="Times New Roman" w:hAnsi="Times New Roman"/>
                <w:sz w:val="20"/>
              </w:rPr>
              <w:t>2019./2020.</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20"/>
              </w:rPr>
            </w:pPr>
            <w:r w:rsidRPr="00B05A3F">
              <w:rPr>
                <w:rFonts w:ascii="Times New Roman" w:hAnsi="Times New Roman"/>
                <w:b/>
                <w:sz w:val="20"/>
              </w:rPr>
              <w:t>Naziv studija</w:t>
            </w:r>
          </w:p>
        </w:tc>
        <w:tc>
          <w:tcPr>
            <w:tcW w:w="5196" w:type="dxa"/>
            <w:gridSpan w:val="23"/>
            <w:vAlign w:val="center"/>
          </w:tcPr>
          <w:p w:rsidR="00733884" w:rsidRPr="00B05A3F" w:rsidRDefault="00733884" w:rsidP="00733884">
            <w:pPr>
              <w:spacing w:before="20" w:after="20"/>
              <w:rPr>
                <w:rFonts w:ascii="Times New Roman" w:hAnsi="Times New Roman"/>
                <w:sz w:val="20"/>
              </w:rPr>
            </w:pPr>
            <w:r w:rsidRPr="00B05A3F">
              <w:rPr>
                <w:rFonts w:ascii="Times New Roman" w:hAnsi="Times New Roman"/>
                <w:sz w:val="20"/>
              </w:rPr>
              <w:t xml:space="preserve">Dvopredmetni </w:t>
            </w:r>
            <w:r>
              <w:rPr>
                <w:rFonts w:ascii="Times New Roman" w:hAnsi="Times New Roman"/>
                <w:sz w:val="20"/>
              </w:rPr>
              <w:t xml:space="preserve"> </w:t>
            </w:r>
            <w:r w:rsidRPr="00B05A3F">
              <w:rPr>
                <w:rFonts w:ascii="Times New Roman" w:hAnsi="Times New Roman"/>
                <w:sz w:val="20"/>
              </w:rPr>
              <w:t>diplomski sveučilišni studij filozofije</w:t>
            </w:r>
          </w:p>
        </w:tc>
        <w:tc>
          <w:tcPr>
            <w:tcW w:w="758" w:type="dxa"/>
            <w:gridSpan w:val="3"/>
            <w:shd w:val="clear" w:color="auto" w:fill="F2F2F2"/>
          </w:tcPr>
          <w:p w:rsidR="00733884" w:rsidRPr="00B05A3F" w:rsidRDefault="00733884" w:rsidP="00774297">
            <w:pPr>
              <w:spacing w:before="20" w:after="20"/>
              <w:rPr>
                <w:rFonts w:ascii="Times New Roman" w:hAnsi="Times New Roman"/>
                <w:b/>
                <w:sz w:val="20"/>
              </w:rPr>
            </w:pPr>
            <w:r w:rsidRPr="00B05A3F">
              <w:rPr>
                <w:rFonts w:ascii="Times New Roman" w:hAnsi="Times New Roman"/>
                <w:b/>
                <w:sz w:val="20"/>
              </w:rPr>
              <w:t>ECTS</w:t>
            </w:r>
          </w:p>
        </w:tc>
        <w:tc>
          <w:tcPr>
            <w:tcW w:w="1533" w:type="dxa"/>
            <w:gridSpan w:val="4"/>
          </w:tcPr>
          <w:p w:rsidR="00733884" w:rsidRPr="00B05A3F" w:rsidRDefault="00733884" w:rsidP="00774297">
            <w:pPr>
              <w:spacing w:before="20" w:after="20"/>
              <w:jc w:val="center"/>
              <w:rPr>
                <w:rFonts w:ascii="Times New Roman" w:hAnsi="Times New Roman"/>
                <w:b/>
                <w:sz w:val="20"/>
              </w:rPr>
            </w:pPr>
            <w:r w:rsidRPr="00B05A3F">
              <w:rPr>
                <w:rFonts w:ascii="Times New Roman" w:hAnsi="Times New Roman"/>
                <w:b/>
                <w:sz w:val="20"/>
              </w:rPr>
              <w:t>3</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20"/>
              </w:rPr>
            </w:pPr>
            <w:r w:rsidRPr="00B05A3F">
              <w:rPr>
                <w:rFonts w:ascii="Times New Roman" w:hAnsi="Times New Roman"/>
                <w:b/>
                <w:sz w:val="20"/>
              </w:rPr>
              <w:t>Sastavnica</w:t>
            </w:r>
          </w:p>
        </w:tc>
        <w:tc>
          <w:tcPr>
            <w:tcW w:w="7487" w:type="dxa"/>
            <w:gridSpan w:val="30"/>
            <w:shd w:val="clear" w:color="auto" w:fill="FFFFFF"/>
            <w:vAlign w:val="center"/>
          </w:tcPr>
          <w:p w:rsidR="00733884" w:rsidRPr="00B05A3F" w:rsidRDefault="00733884" w:rsidP="00774297">
            <w:pPr>
              <w:spacing w:before="20" w:after="20"/>
              <w:rPr>
                <w:rFonts w:ascii="Times New Roman" w:hAnsi="Times New Roman"/>
                <w:sz w:val="20"/>
              </w:rPr>
            </w:pPr>
            <w:r w:rsidRPr="00B05A3F">
              <w:rPr>
                <w:rFonts w:ascii="Times New Roman" w:hAnsi="Times New Roman"/>
                <w:sz w:val="20"/>
              </w:rPr>
              <w:t xml:space="preserve">Odjel za filozofiju </w:t>
            </w:r>
          </w:p>
        </w:tc>
      </w:tr>
      <w:tr w:rsidR="00733884" w:rsidRPr="00B05A3F" w:rsidTr="00774297">
        <w:tc>
          <w:tcPr>
            <w:tcW w:w="1801" w:type="dxa"/>
            <w:shd w:val="clear" w:color="auto" w:fill="F2F2F2"/>
            <w:vAlign w:val="center"/>
          </w:tcPr>
          <w:p w:rsidR="00733884" w:rsidRPr="00B05A3F" w:rsidRDefault="00733884" w:rsidP="00774297">
            <w:pPr>
              <w:spacing w:before="20" w:after="20"/>
              <w:rPr>
                <w:rFonts w:ascii="Times New Roman" w:hAnsi="Times New Roman"/>
                <w:b/>
                <w:sz w:val="18"/>
                <w:szCs w:val="18"/>
              </w:rPr>
            </w:pPr>
            <w:r w:rsidRPr="00B05A3F">
              <w:rPr>
                <w:rFonts w:ascii="Times New Roman" w:hAnsi="Times New Roman"/>
                <w:b/>
                <w:sz w:val="18"/>
                <w:szCs w:val="18"/>
              </w:rPr>
              <w:t>Razina studija</w:t>
            </w:r>
          </w:p>
        </w:tc>
        <w:tc>
          <w:tcPr>
            <w:tcW w:w="1729" w:type="dxa"/>
            <w:gridSpan w:val="9"/>
          </w:tcPr>
          <w:p w:rsidR="00733884" w:rsidRPr="00B05A3F" w:rsidRDefault="00733884" w:rsidP="00774297">
            <w:pPr>
              <w:tabs>
                <w:tab w:val="left" w:pos="1218"/>
              </w:tabs>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b/>
                <w:sz w:val="18"/>
                <w:szCs w:val="18"/>
              </w:rPr>
              <w:t xml:space="preserve"> </w:t>
            </w:r>
            <w:r w:rsidRPr="00B05A3F">
              <w:rPr>
                <w:rFonts w:ascii="Times New Roman" w:hAnsi="Times New Roman"/>
                <w:sz w:val="18"/>
                <w:szCs w:val="18"/>
              </w:rPr>
              <w:t xml:space="preserve">preddiplomski </w:t>
            </w:r>
          </w:p>
        </w:tc>
        <w:tc>
          <w:tcPr>
            <w:tcW w:w="1531" w:type="dxa"/>
            <w:gridSpan w:val="7"/>
          </w:tcPr>
          <w:p w:rsidR="00733884" w:rsidRPr="00B05A3F" w:rsidRDefault="00733884" w:rsidP="00774297">
            <w:pPr>
              <w:tabs>
                <w:tab w:val="left" w:pos="1218"/>
              </w:tabs>
              <w:spacing w:before="20" w:after="20"/>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diplomski</w:t>
            </w:r>
          </w:p>
        </w:tc>
        <w:tc>
          <w:tcPr>
            <w:tcW w:w="1936" w:type="dxa"/>
            <w:gridSpan w:val="7"/>
          </w:tcPr>
          <w:p w:rsidR="00733884" w:rsidRPr="00B05A3F" w:rsidRDefault="00733884" w:rsidP="00774297">
            <w:pPr>
              <w:tabs>
                <w:tab w:val="left" w:pos="1218"/>
              </w:tabs>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integrirani</w:t>
            </w:r>
          </w:p>
        </w:tc>
        <w:tc>
          <w:tcPr>
            <w:tcW w:w="2291" w:type="dxa"/>
            <w:gridSpan w:val="7"/>
            <w:shd w:val="clear" w:color="auto" w:fill="FFFFFF"/>
          </w:tcPr>
          <w:p w:rsidR="00733884" w:rsidRPr="00B05A3F" w:rsidRDefault="00733884" w:rsidP="00774297">
            <w:pPr>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poslijediplomski</w:t>
            </w:r>
          </w:p>
        </w:tc>
      </w:tr>
      <w:tr w:rsidR="00733884" w:rsidRPr="00B05A3F" w:rsidTr="00774297">
        <w:tc>
          <w:tcPr>
            <w:tcW w:w="1801" w:type="dxa"/>
            <w:shd w:val="clear" w:color="auto" w:fill="F2F2F2"/>
            <w:vAlign w:val="center"/>
          </w:tcPr>
          <w:p w:rsidR="00733884" w:rsidRPr="00B05A3F" w:rsidRDefault="00733884" w:rsidP="00774297">
            <w:pPr>
              <w:spacing w:before="20" w:after="20"/>
              <w:rPr>
                <w:rFonts w:ascii="Times New Roman" w:hAnsi="Times New Roman"/>
                <w:b/>
                <w:sz w:val="18"/>
                <w:szCs w:val="18"/>
              </w:rPr>
            </w:pPr>
            <w:r w:rsidRPr="00B05A3F">
              <w:rPr>
                <w:rFonts w:ascii="Times New Roman" w:hAnsi="Times New Roman"/>
                <w:b/>
                <w:sz w:val="18"/>
                <w:szCs w:val="18"/>
              </w:rPr>
              <w:t>Vrsta studija</w:t>
            </w:r>
          </w:p>
        </w:tc>
        <w:tc>
          <w:tcPr>
            <w:tcW w:w="1729" w:type="dxa"/>
            <w:gridSpan w:val="9"/>
          </w:tcPr>
          <w:p w:rsidR="00733884" w:rsidRPr="00B05A3F" w:rsidRDefault="00733884" w:rsidP="00774297">
            <w:pPr>
              <w:tabs>
                <w:tab w:val="left" w:pos="1218"/>
              </w:tabs>
              <w:spacing w:before="20" w:after="20"/>
              <w:rPr>
                <w:rFonts w:ascii="Times New Roman" w:hAnsi="Times New Roman"/>
                <w:sz w:val="18"/>
                <w:szCs w:val="20"/>
              </w:rPr>
            </w:pPr>
            <w:r w:rsidRPr="00C67146">
              <w:rPr>
                <w:rFonts w:ascii="MS Mincho" w:eastAsia="MS Mincho" w:hAnsi="MS Mincho" w:cs="MS Mincho" w:hint="eastAsia"/>
                <w:sz w:val="18"/>
                <w:szCs w:val="20"/>
              </w:rPr>
              <w:t>☐</w:t>
            </w:r>
            <w:r w:rsidRPr="00B05A3F">
              <w:rPr>
                <w:rFonts w:ascii="Times New Roman" w:hAnsi="Times New Roman"/>
                <w:sz w:val="18"/>
                <w:szCs w:val="20"/>
              </w:rPr>
              <w:t xml:space="preserve"> jednopredmetni</w:t>
            </w:r>
          </w:p>
          <w:p w:rsidR="00733884" w:rsidRPr="00B05A3F" w:rsidRDefault="00733884" w:rsidP="00774297">
            <w:pPr>
              <w:tabs>
                <w:tab w:val="left" w:pos="1218"/>
              </w:tabs>
              <w:spacing w:before="20" w:after="20"/>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20"/>
              </w:rPr>
              <w:t xml:space="preserve"> dvopredmetni</w:t>
            </w:r>
          </w:p>
        </w:tc>
        <w:tc>
          <w:tcPr>
            <w:tcW w:w="1531" w:type="dxa"/>
            <w:gridSpan w:val="7"/>
            <w:vAlign w:val="center"/>
          </w:tcPr>
          <w:p w:rsidR="00733884" w:rsidRPr="00B05A3F" w:rsidRDefault="00733884" w:rsidP="00774297">
            <w:pPr>
              <w:tabs>
                <w:tab w:val="left" w:pos="1218"/>
              </w:tabs>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sveučilišni</w:t>
            </w:r>
          </w:p>
        </w:tc>
        <w:tc>
          <w:tcPr>
            <w:tcW w:w="1936" w:type="dxa"/>
            <w:gridSpan w:val="7"/>
            <w:vAlign w:val="center"/>
          </w:tcPr>
          <w:p w:rsidR="00733884" w:rsidRPr="00B05A3F" w:rsidRDefault="00733884" w:rsidP="00774297">
            <w:pPr>
              <w:tabs>
                <w:tab w:val="left" w:pos="1218"/>
              </w:tabs>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stručni</w:t>
            </w:r>
          </w:p>
        </w:tc>
        <w:tc>
          <w:tcPr>
            <w:tcW w:w="2291" w:type="dxa"/>
            <w:gridSpan w:val="7"/>
            <w:shd w:val="clear" w:color="auto" w:fill="FFFFFF"/>
            <w:vAlign w:val="center"/>
          </w:tcPr>
          <w:p w:rsidR="00733884" w:rsidRPr="00B05A3F" w:rsidRDefault="00733884" w:rsidP="00774297">
            <w:pPr>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specijalistički</w:t>
            </w:r>
          </w:p>
        </w:tc>
      </w:tr>
      <w:tr w:rsidR="00733884" w:rsidRPr="00B05A3F" w:rsidTr="00774297">
        <w:tc>
          <w:tcPr>
            <w:tcW w:w="1801" w:type="dxa"/>
            <w:shd w:val="clear" w:color="auto" w:fill="F2F2F2"/>
            <w:vAlign w:val="center"/>
          </w:tcPr>
          <w:p w:rsidR="00733884" w:rsidRPr="00B05A3F" w:rsidRDefault="00733884" w:rsidP="00774297">
            <w:pPr>
              <w:spacing w:before="20" w:after="20"/>
              <w:rPr>
                <w:rFonts w:ascii="Times New Roman" w:hAnsi="Times New Roman"/>
                <w:b/>
                <w:sz w:val="18"/>
                <w:szCs w:val="18"/>
              </w:rPr>
            </w:pPr>
            <w:r w:rsidRPr="00B05A3F">
              <w:rPr>
                <w:rFonts w:ascii="Times New Roman" w:hAnsi="Times New Roman"/>
                <w:b/>
                <w:sz w:val="18"/>
                <w:szCs w:val="18"/>
              </w:rPr>
              <w:t>Godina studija</w:t>
            </w:r>
          </w:p>
        </w:tc>
        <w:tc>
          <w:tcPr>
            <w:tcW w:w="1495" w:type="dxa"/>
            <w:gridSpan w:val="7"/>
            <w:shd w:val="clear" w:color="auto" w:fill="FFFFFF"/>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1.</w:t>
            </w:r>
          </w:p>
        </w:tc>
        <w:tc>
          <w:tcPr>
            <w:tcW w:w="1498" w:type="dxa"/>
            <w:gridSpan w:val="8"/>
            <w:shd w:val="clear" w:color="auto" w:fill="FFFFFF"/>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2.</w:t>
            </w:r>
          </w:p>
        </w:tc>
        <w:tc>
          <w:tcPr>
            <w:tcW w:w="1497" w:type="dxa"/>
            <w:gridSpan w:val="5"/>
            <w:shd w:val="clear" w:color="auto" w:fill="FFFFFF"/>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3.</w:t>
            </w:r>
          </w:p>
        </w:tc>
        <w:tc>
          <w:tcPr>
            <w:tcW w:w="1497" w:type="dxa"/>
            <w:gridSpan w:val="7"/>
            <w:shd w:val="clear" w:color="auto" w:fill="FFFFFF"/>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4.</w:t>
            </w:r>
          </w:p>
        </w:tc>
        <w:tc>
          <w:tcPr>
            <w:tcW w:w="1500" w:type="dxa"/>
            <w:gridSpan w:val="3"/>
            <w:shd w:val="clear" w:color="auto" w:fill="FFFFFF"/>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5.</w:t>
            </w:r>
          </w:p>
        </w:tc>
      </w:tr>
      <w:tr w:rsidR="00733884" w:rsidRPr="00B05A3F" w:rsidTr="00774297">
        <w:trPr>
          <w:trHeight w:val="80"/>
        </w:trPr>
        <w:tc>
          <w:tcPr>
            <w:tcW w:w="1801" w:type="dxa"/>
            <w:vMerge w:val="restart"/>
            <w:shd w:val="clear" w:color="auto" w:fill="F2F2F2"/>
            <w:vAlign w:val="center"/>
          </w:tcPr>
          <w:p w:rsidR="00733884" w:rsidRPr="00B05A3F" w:rsidRDefault="00733884" w:rsidP="00774297">
            <w:pPr>
              <w:spacing w:before="20" w:after="20"/>
              <w:rPr>
                <w:rFonts w:ascii="Times New Roman" w:hAnsi="Times New Roman"/>
                <w:b/>
                <w:sz w:val="18"/>
                <w:szCs w:val="18"/>
              </w:rPr>
            </w:pPr>
            <w:r w:rsidRPr="00B05A3F">
              <w:rPr>
                <w:rFonts w:ascii="Times New Roman" w:hAnsi="Times New Roman"/>
                <w:b/>
                <w:sz w:val="18"/>
                <w:szCs w:val="18"/>
              </w:rPr>
              <w:t>Semestar</w:t>
            </w:r>
          </w:p>
        </w:tc>
        <w:tc>
          <w:tcPr>
            <w:tcW w:w="1066" w:type="dxa"/>
            <w:gridSpan w:val="3"/>
            <w:vMerge w:val="restart"/>
          </w:tcPr>
          <w:p w:rsidR="00733884" w:rsidRPr="00B05A3F" w:rsidRDefault="00733884" w:rsidP="00774297">
            <w:pPr>
              <w:tabs>
                <w:tab w:val="left" w:pos="1218"/>
              </w:tabs>
              <w:spacing w:before="20" w:after="20"/>
              <w:rPr>
                <w:rFonts w:ascii="Times New Roman" w:hAnsi="Times New Roman"/>
                <w:sz w:val="18"/>
                <w:szCs w:val="20"/>
              </w:rPr>
            </w:pPr>
            <w:r w:rsidRPr="00B05A3F">
              <w:rPr>
                <w:rFonts w:ascii="MS Gothic" w:eastAsia="MS Gothic" w:hAnsi="MS Gothic" w:hint="eastAsia"/>
                <w:sz w:val="18"/>
              </w:rPr>
              <w:t>☐</w:t>
            </w:r>
            <w:r w:rsidRPr="00B05A3F">
              <w:rPr>
                <w:rFonts w:ascii="Times New Roman" w:hAnsi="Times New Roman"/>
                <w:sz w:val="18"/>
                <w:szCs w:val="20"/>
              </w:rPr>
              <w:t xml:space="preserve"> zimski</w:t>
            </w:r>
          </w:p>
          <w:p w:rsidR="00733884" w:rsidRPr="00B05A3F" w:rsidRDefault="00733884" w:rsidP="00774297">
            <w:pPr>
              <w:tabs>
                <w:tab w:val="left" w:pos="1218"/>
              </w:tabs>
              <w:spacing w:before="20" w:after="20"/>
              <w:rPr>
                <w:rFonts w:ascii="Times New Roman" w:hAnsi="Times New Roman"/>
                <w:sz w:val="18"/>
                <w:szCs w:val="20"/>
              </w:rPr>
            </w:pPr>
            <w:r w:rsidRPr="00B05A3F">
              <w:rPr>
                <w:rFonts w:ascii="MS Gothic" w:eastAsia="MS Gothic" w:hAnsi="MS Gothic" w:hint="eastAsia"/>
                <w:sz w:val="18"/>
              </w:rPr>
              <w:t>☒</w:t>
            </w:r>
            <w:r w:rsidRPr="00B05A3F">
              <w:rPr>
                <w:rFonts w:ascii="Times New Roman" w:hAnsi="Times New Roman"/>
                <w:sz w:val="18"/>
                <w:szCs w:val="20"/>
              </w:rPr>
              <w:t xml:space="preserve"> ljetni</w:t>
            </w:r>
          </w:p>
        </w:tc>
        <w:tc>
          <w:tcPr>
            <w:tcW w:w="1284" w:type="dxa"/>
            <w:gridSpan w:val="9"/>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I.</w:t>
            </w:r>
          </w:p>
        </w:tc>
        <w:tc>
          <w:tcPr>
            <w:tcW w:w="1284" w:type="dxa"/>
            <w:gridSpan w:val="5"/>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II.</w:t>
            </w:r>
          </w:p>
        </w:tc>
        <w:tc>
          <w:tcPr>
            <w:tcW w:w="1284" w:type="dxa"/>
            <w:gridSpan w:val="4"/>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III.</w:t>
            </w:r>
          </w:p>
        </w:tc>
        <w:tc>
          <w:tcPr>
            <w:tcW w:w="1284" w:type="dxa"/>
            <w:gridSpan w:val="7"/>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IV.</w:t>
            </w:r>
          </w:p>
        </w:tc>
        <w:tc>
          <w:tcPr>
            <w:tcW w:w="1285" w:type="dxa"/>
            <w:gridSpan w:val="2"/>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V.</w:t>
            </w:r>
          </w:p>
        </w:tc>
      </w:tr>
      <w:tr w:rsidR="00733884" w:rsidRPr="00B05A3F" w:rsidTr="00774297">
        <w:trPr>
          <w:trHeight w:val="80"/>
        </w:trPr>
        <w:tc>
          <w:tcPr>
            <w:tcW w:w="1801" w:type="dxa"/>
            <w:vMerge/>
            <w:shd w:val="clear" w:color="auto" w:fill="F2F2F2"/>
            <w:vAlign w:val="center"/>
          </w:tcPr>
          <w:p w:rsidR="00733884" w:rsidRPr="00B05A3F" w:rsidRDefault="00733884" w:rsidP="00774297">
            <w:pPr>
              <w:spacing w:before="20" w:after="20"/>
              <w:rPr>
                <w:rFonts w:ascii="Times New Roman" w:hAnsi="Times New Roman"/>
                <w:b/>
                <w:sz w:val="18"/>
                <w:szCs w:val="18"/>
              </w:rPr>
            </w:pPr>
          </w:p>
        </w:tc>
        <w:tc>
          <w:tcPr>
            <w:tcW w:w="1066" w:type="dxa"/>
            <w:gridSpan w:val="3"/>
            <w:vMerge/>
          </w:tcPr>
          <w:p w:rsidR="00733884" w:rsidRPr="00B05A3F" w:rsidRDefault="00733884" w:rsidP="00774297">
            <w:pPr>
              <w:tabs>
                <w:tab w:val="left" w:pos="1218"/>
              </w:tabs>
              <w:spacing w:before="20" w:after="20"/>
              <w:rPr>
                <w:rFonts w:ascii="Times New Roman" w:hAnsi="Times New Roman"/>
                <w:sz w:val="18"/>
                <w:szCs w:val="20"/>
              </w:rPr>
            </w:pPr>
          </w:p>
        </w:tc>
        <w:tc>
          <w:tcPr>
            <w:tcW w:w="1284" w:type="dxa"/>
            <w:gridSpan w:val="9"/>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VI.</w:t>
            </w:r>
          </w:p>
        </w:tc>
        <w:tc>
          <w:tcPr>
            <w:tcW w:w="1284" w:type="dxa"/>
            <w:gridSpan w:val="5"/>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VII.</w:t>
            </w:r>
          </w:p>
        </w:tc>
        <w:tc>
          <w:tcPr>
            <w:tcW w:w="1284" w:type="dxa"/>
            <w:gridSpan w:val="4"/>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VIII.</w:t>
            </w:r>
          </w:p>
        </w:tc>
        <w:tc>
          <w:tcPr>
            <w:tcW w:w="1284" w:type="dxa"/>
            <w:gridSpan w:val="7"/>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IX.</w:t>
            </w:r>
          </w:p>
        </w:tc>
        <w:tc>
          <w:tcPr>
            <w:tcW w:w="1285" w:type="dxa"/>
            <w:gridSpan w:val="2"/>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X.</w:t>
            </w:r>
          </w:p>
        </w:tc>
      </w:tr>
      <w:tr w:rsidR="00733884" w:rsidRPr="00B05A3F" w:rsidTr="00774297">
        <w:trPr>
          <w:trHeight w:val="80"/>
        </w:trPr>
        <w:tc>
          <w:tcPr>
            <w:tcW w:w="1801" w:type="dxa"/>
            <w:shd w:val="clear" w:color="auto" w:fill="F2F2F2"/>
            <w:vAlign w:val="center"/>
          </w:tcPr>
          <w:p w:rsidR="00733884" w:rsidRPr="00B05A3F" w:rsidRDefault="00733884" w:rsidP="00774297">
            <w:pPr>
              <w:spacing w:before="20" w:after="20"/>
              <w:rPr>
                <w:rFonts w:ascii="Times New Roman" w:hAnsi="Times New Roman"/>
                <w:b/>
                <w:sz w:val="18"/>
                <w:szCs w:val="18"/>
              </w:rPr>
            </w:pPr>
            <w:r w:rsidRPr="00B05A3F">
              <w:rPr>
                <w:rFonts w:ascii="Times New Roman" w:hAnsi="Times New Roman"/>
                <w:b/>
                <w:sz w:val="18"/>
                <w:szCs w:val="18"/>
              </w:rPr>
              <w:t>Status kolegija</w:t>
            </w:r>
          </w:p>
        </w:tc>
        <w:tc>
          <w:tcPr>
            <w:tcW w:w="1066" w:type="dxa"/>
            <w:gridSpan w:val="3"/>
          </w:tcPr>
          <w:p w:rsidR="00733884" w:rsidRPr="00B05A3F" w:rsidRDefault="00733884" w:rsidP="00774297">
            <w:pPr>
              <w:tabs>
                <w:tab w:val="left" w:pos="1218"/>
              </w:tabs>
              <w:spacing w:before="20" w:after="20"/>
              <w:rPr>
                <w:rFonts w:ascii="Times New Roman" w:hAnsi="Times New Roman"/>
                <w:sz w:val="18"/>
                <w:szCs w:val="20"/>
              </w:rPr>
            </w:pPr>
            <w:r w:rsidRPr="00B05A3F">
              <w:rPr>
                <w:rFonts w:ascii="MS Gothic" w:eastAsia="MS Gothic" w:hAnsi="MS Gothic" w:hint="eastAsia"/>
                <w:sz w:val="18"/>
              </w:rPr>
              <w:t>☒</w:t>
            </w:r>
            <w:r w:rsidRPr="00B05A3F">
              <w:rPr>
                <w:rFonts w:ascii="Times New Roman" w:hAnsi="Times New Roman"/>
                <w:sz w:val="18"/>
                <w:szCs w:val="20"/>
              </w:rPr>
              <w:t xml:space="preserve"> obvezni kolegij</w:t>
            </w:r>
          </w:p>
        </w:tc>
        <w:tc>
          <w:tcPr>
            <w:tcW w:w="1284" w:type="dxa"/>
            <w:gridSpan w:val="9"/>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szCs w:val="20"/>
              </w:rPr>
              <w:t>☐</w:t>
            </w:r>
            <w:r w:rsidRPr="00B05A3F">
              <w:rPr>
                <w:rFonts w:ascii="Times New Roman" w:hAnsi="Times New Roman"/>
                <w:sz w:val="18"/>
                <w:szCs w:val="20"/>
              </w:rPr>
              <w:t xml:space="preserve"> izborni kolegij</w:t>
            </w:r>
          </w:p>
        </w:tc>
        <w:tc>
          <w:tcPr>
            <w:tcW w:w="2568" w:type="dxa"/>
            <w:gridSpan w:val="9"/>
            <w:vAlign w:val="center"/>
          </w:tcPr>
          <w:p w:rsidR="00733884" w:rsidRPr="00B05A3F" w:rsidRDefault="00733884"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szCs w:val="20"/>
              </w:rPr>
              <w:t>☐</w:t>
            </w:r>
            <w:r w:rsidRPr="00B05A3F">
              <w:rPr>
                <w:rFonts w:ascii="Times New Roman" w:hAnsi="Times New Roman"/>
                <w:sz w:val="18"/>
                <w:szCs w:val="20"/>
              </w:rPr>
              <w:t xml:space="preserve"> izborni kolegij koji se nudi studentima drugih odjela</w:t>
            </w:r>
          </w:p>
        </w:tc>
        <w:tc>
          <w:tcPr>
            <w:tcW w:w="1284" w:type="dxa"/>
            <w:gridSpan w:val="7"/>
            <w:shd w:val="clear" w:color="auto" w:fill="F2F2F2"/>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Times New Roman" w:hAnsi="Times New Roman"/>
                <w:b/>
                <w:sz w:val="18"/>
              </w:rPr>
              <w:t>Nastavničke kompetencije</w:t>
            </w:r>
          </w:p>
        </w:tc>
        <w:tc>
          <w:tcPr>
            <w:tcW w:w="1285" w:type="dxa"/>
            <w:gridSpan w:val="2"/>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szCs w:val="20"/>
              </w:rPr>
              <w:t>☐</w:t>
            </w:r>
            <w:r w:rsidRPr="00B05A3F">
              <w:rPr>
                <w:rFonts w:ascii="Times New Roman" w:hAnsi="Times New Roman"/>
                <w:sz w:val="18"/>
                <w:szCs w:val="20"/>
              </w:rPr>
              <w:t xml:space="preserve"> DA </w:t>
            </w:r>
            <w:r w:rsidRPr="00B05A3F">
              <w:rPr>
                <w:rFonts w:ascii="MS Gothic" w:eastAsia="MS Gothic" w:hAnsi="MS Gothic" w:hint="eastAsia"/>
                <w:sz w:val="18"/>
              </w:rPr>
              <w:t>☒</w:t>
            </w:r>
            <w:r w:rsidRPr="00B05A3F">
              <w:rPr>
                <w:rFonts w:ascii="Times New Roman" w:hAnsi="Times New Roman"/>
                <w:sz w:val="18"/>
                <w:szCs w:val="20"/>
              </w:rPr>
              <w:t xml:space="preserve"> NE</w:t>
            </w:r>
          </w:p>
        </w:tc>
      </w:tr>
      <w:tr w:rsidR="00733884" w:rsidRPr="00B05A3F" w:rsidTr="00774297">
        <w:trPr>
          <w:trHeight w:val="80"/>
        </w:trPr>
        <w:tc>
          <w:tcPr>
            <w:tcW w:w="1801" w:type="dxa"/>
            <w:shd w:val="clear" w:color="auto" w:fill="F2F2F2"/>
            <w:vAlign w:val="center"/>
          </w:tcPr>
          <w:p w:rsidR="00733884" w:rsidRPr="00B05A3F" w:rsidRDefault="00733884" w:rsidP="00774297">
            <w:pPr>
              <w:spacing w:before="20" w:after="20"/>
              <w:rPr>
                <w:rFonts w:ascii="Times New Roman" w:hAnsi="Times New Roman"/>
                <w:b/>
                <w:sz w:val="18"/>
                <w:szCs w:val="18"/>
              </w:rPr>
            </w:pPr>
            <w:r w:rsidRPr="00B05A3F">
              <w:rPr>
                <w:rFonts w:ascii="Times New Roman" w:hAnsi="Times New Roman"/>
                <w:b/>
                <w:sz w:val="18"/>
              </w:rPr>
              <w:t>Opterećenje</w:t>
            </w:r>
          </w:p>
        </w:tc>
        <w:tc>
          <w:tcPr>
            <w:tcW w:w="391" w:type="dxa"/>
          </w:tcPr>
          <w:p w:rsidR="00733884" w:rsidRPr="00B05A3F" w:rsidRDefault="00733884" w:rsidP="00774297">
            <w:pPr>
              <w:spacing w:before="20" w:after="20"/>
              <w:jc w:val="center"/>
              <w:rPr>
                <w:rFonts w:ascii="Times New Roman" w:hAnsi="Times New Roman"/>
                <w:sz w:val="18"/>
                <w:szCs w:val="20"/>
              </w:rPr>
            </w:pPr>
            <w:r w:rsidRPr="00B05A3F">
              <w:rPr>
                <w:rFonts w:ascii="Times New Roman" w:hAnsi="Times New Roman"/>
                <w:sz w:val="18"/>
                <w:szCs w:val="20"/>
              </w:rPr>
              <w:t>2</w:t>
            </w:r>
          </w:p>
        </w:tc>
        <w:tc>
          <w:tcPr>
            <w:tcW w:w="392" w:type="dxa"/>
          </w:tcPr>
          <w:p w:rsidR="00733884" w:rsidRPr="00B05A3F" w:rsidRDefault="00733884" w:rsidP="00774297">
            <w:pPr>
              <w:spacing w:before="20" w:after="20"/>
              <w:jc w:val="center"/>
              <w:rPr>
                <w:rFonts w:ascii="Times New Roman" w:hAnsi="Times New Roman"/>
                <w:b/>
                <w:sz w:val="18"/>
                <w:szCs w:val="20"/>
              </w:rPr>
            </w:pPr>
            <w:r w:rsidRPr="00B05A3F">
              <w:rPr>
                <w:rFonts w:ascii="Times New Roman" w:hAnsi="Times New Roman"/>
                <w:b/>
                <w:sz w:val="18"/>
                <w:szCs w:val="20"/>
              </w:rPr>
              <w:t>P</w:t>
            </w:r>
          </w:p>
        </w:tc>
        <w:tc>
          <w:tcPr>
            <w:tcW w:w="392" w:type="dxa"/>
            <w:gridSpan w:val="3"/>
          </w:tcPr>
          <w:p w:rsidR="00733884" w:rsidRPr="00B05A3F" w:rsidRDefault="00733884" w:rsidP="00774297">
            <w:pPr>
              <w:spacing w:before="20" w:after="20"/>
              <w:jc w:val="center"/>
              <w:rPr>
                <w:rFonts w:ascii="Times New Roman" w:hAnsi="Times New Roman"/>
                <w:sz w:val="18"/>
                <w:szCs w:val="20"/>
              </w:rPr>
            </w:pPr>
            <w:r w:rsidRPr="00B05A3F">
              <w:rPr>
                <w:rFonts w:ascii="Times New Roman" w:hAnsi="Times New Roman"/>
                <w:sz w:val="18"/>
                <w:szCs w:val="20"/>
              </w:rPr>
              <w:t>0</w:t>
            </w:r>
          </w:p>
        </w:tc>
        <w:tc>
          <w:tcPr>
            <w:tcW w:w="391" w:type="dxa"/>
            <w:gridSpan w:val="3"/>
          </w:tcPr>
          <w:p w:rsidR="00733884" w:rsidRPr="00B05A3F" w:rsidRDefault="00733884" w:rsidP="00774297">
            <w:pPr>
              <w:spacing w:before="20" w:after="20"/>
              <w:jc w:val="center"/>
              <w:rPr>
                <w:rFonts w:ascii="Times New Roman" w:hAnsi="Times New Roman"/>
                <w:b/>
                <w:sz w:val="18"/>
                <w:szCs w:val="20"/>
              </w:rPr>
            </w:pPr>
            <w:r w:rsidRPr="00B05A3F">
              <w:rPr>
                <w:rFonts w:ascii="Times New Roman" w:hAnsi="Times New Roman"/>
                <w:b/>
                <w:sz w:val="18"/>
                <w:szCs w:val="20"/>
              </w:rPr>
              <w:t>S</w:t>
            </w:r>
          </w:p>
        </w:tc>
        <w:tc>
          <w:tcPr>
            <w:tcW w:w="392" w:type="dxa"/>
            <w:gridSpan w:val="2"/>
          </w:tcPr>
          <w:p w:rsidR="00733884" w:rsidRPr="00B05A3F" w:rsidRDefault="00733884" w:rsidP="00774297">
            <w:pPr>
              <w:spacing w:before="20" w:after="20"/>
              <w:jc w:val="center"/>
              <w:rPr>
                <w:rFonts w:ascii="Times New Roman" w:hAnsi="Times New Roman"/>
                <w:sz w:val="18"/>
                <w:szCs w:val="20"/>
              </w:rPr>
            </w:pPr>
            <w:r w:rsidRPr="00B05A3F">
              <w:rPr>
                <w:rFonts w:ascii="Times New Roman" w:hAnsi="Times New Roman"/>
                <w:sz w:val="18"/>
                <w:szCs w:val="20"/>
              </w:rPr>
              <w:t>0</w:t>
            </w:r>
          </w:p>
        </w:tc>
        <w:tc>
          <w:tcPr>
            <w:tcW w:w="392" w:type="dxa"/>
            <w:gridSpan w:val="2"/>
          </w:tcPr>
          <w:p w:rsidR="00733884" w:rsidRPr="00B05A3F" w:rsidRDefault="00733884" w:rsidP="00774297">
            <w:pPr>
              <w:spacing w:before="20" w:after="20"/>
              <w:jc w:val="center"/>
              <w:rPr>
                <w:rFonts w:ascii="Times New Roman" w:hAnsi="Times New Roman"/>
                <w:b/>
                <w:sz w:val="18"/>
                <w:szCs w:val="20"/>
              </w:rPr>
            </w:pPr>
            <w:r w:rsidRPr="00B05A3F">
              <w:rPr>
                <w:rFonts w:ascii="Times New Roman" w:hAnsi="Times New Roman"/>
                <w:b/>
                <w:sz w:val="18"/>
                <w:szCs w:val="20"/>
              </w:rPr>
              <w:t>V</w:t>
            </w:r>
          </w:p>
        </w:tc>
        <w:tc>
          <w:tcPr>
            <w:tcW w:w="3852" w:type="dxa"/>
            <w:gridSpan w:val="16"/>
            <w:shd w:val="clear" w:color="auto" w:fill="F2F2F2"/>
            <w:vAlign w:val="center"/>
          </w:tcPr>
          <w:p w:rsidR="00733884" w:rsidRPr="00B05A3F" w:rsidRDefault="00733884" w:rsidP="00774297">
            <w:pPr>
              <w:tabs>
                <w:tab w:val="left" w:pos="1218"/>
              </w:tabs>
              <w:spacing w:before="20" w:after="20"/>
              <w:jc w:val="center"/>
              <w:rPr>
                <w:rFonts w:ascii="Times New Roman" w:hAnsi="Times New Roman"/>
                <w:b/>
                <w:sz w:val="18"/>
              </w:rPr>
            </w:pPr>
            <w:r w:rsidRPr="00B05A3F">
              <w:rPr>
                <w:rFonts w:ascii="Times New Roman" w:hAnsi="Times New Roman"/>
                <w:b/>
                <w:sz w:val="18"/>
                <w:szCs w:val="20"/>
              </w:rPr>
              <w:t>Mrežne stranice kolegija u sustavu za e-učenje</w:t>
            </w:r>
          </w:p>
        </w:tc>
        <w:tc>
          <w:tcPr>
            <w:tcW w:w="1285" w:type="dxa"/>
            <w:gridSpan w:val="2"/>
            <w:vAlign w:val="center"/>
          </w:tcPr>
          <w:p w:rsidR="00733884" w:rsidRPr="00B05A3F" w:rsidRDefault="00733884" w:rsidP="00774297">
            <w:pPr>
              <w:tabs>
                <w:tab w:val="left" w:pos="1218"/>
              </w:tabs>
              <w:spacing w:before="20" w:after="20"/>
              <w:rPr>
                <w:rFonts w:ascii="Times New Roman" w:hAnsi="Times New Roman"/>
                <w:sz w:val="18"/>
                <w:szCs w:val="20"/>
              </w:rPr>
            </w:pPr>
            <w:r w:rsidRPr="00B05A3F">
              <w:rPr>
                <w:rFonts w:ascii="MS Gothic" w:eastAsia="MS Gothic" w:hAnsi="MS Gothic" w:hint="eastAsia"/>
                <w:sz w:val="18"/>
              </w:rPr>
              <w:t>☒</w:t>
            </w:r>
            <w:r w:rsidRPr="00B05A3F">
              <w:rPr>
                <w:rFonts w:ascii="Times New Roman" w:hAnsi="Times New Roman"/>
                <w:sz w:val="18"/>
                <w:szCs w:val="20"/>
              </w:rPr>
              <w:t xml:space="preserve"> DA </w:t>
            </w:r>
            <w:r w:rsidRPr="00B05A3F">
              <w:rPr>
                <w:rFonts w:ascii="MS Gothic" w:eastAsia="MS Gothic" w:hAnsi="MS Gothic" w:hint="eastAsia"/>
                <w:sz w:val="18"/>
                <w:szCs w:val="20"/>
              </w:rPr>
              <w:t>☐</w:t>
            </w:r>
            <w:r w:rsidRPr="00B05A3F">
              <w:rPr>
                <w:rFonts w:ascii="Times New Roman" w:hAnsi="Times New Roman"/>
                <w:sz w:val="18"/>
                <w:szCs w:val="20"/>
              </w:rPr>
              <w:t xml:space="preserve"> NE</w:t>
            </w:r>
          </w:p>
        </w:tc>
      </w:tr>
      <w:tr w:rsidR="00733884" w:rsidRPr="00B05A3F" w:rsidTr="00774297">
        <w:trPr>
          <w:trHeight w:val="80"/>
        </w:trPr>
        <w:tc>
          <w:tcPr>
            <w:tcW w:w="1801" w:type="dxa"/>
            <w:shd w:val="clear" w:color="auto" w:fill="F2F2F2"/>
            <w:vAlign w:val="center"/>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Mjesto i vrijeme izvođenja nastave</w:t>
            </w:r>
          </w:p>
        </w:tc>
        <w:tc>
          <w:tcPr>
            <w:tcW w:w="2350" w:type="dxa"/>
            <w:gridSpan w:val="12"/>
            <w:vAlign w:val="center"/>
          </w:tcPr>
          <w:p w:rsidR="00733884" w:rsidRPr="00B05A3F" w:rsidRDefault="00733884" w:rsidP="00774297">
            <w:pPr>
              <w:spacing w:before="20" w:after="20"/>
              <w:jc w:val="center"/>
              <w:rPr>
                <w:rFonts w:ascii="Times New Roman" w:hAnsi="Times New Roman"/>
                <w:b/>
                <w:sz w:val="18"/>
                <w:szCs w:val="20"/>
              </w:rPr>
            </w:pPr>
            <w:r w:rsidRPr="00B05A3F">
              <w:rPr>
                <w:rFonts w:ascii="Times New Roman" w:hAnsi="Times New Roman"/>
                <w:b/>
                <w:sz w:val="18"/>
                <w:szCs w:val="20"/>
              </w:rPr>
              <w:t xml:space="preserve">Predavaonica br. 124 </w:t>
            </w:r>
          </w:p>
          <w:p w:rsidR="00733884" w:rsidRPr="00B05A3F" w:rsidRDefault="00733884" w:rsidP="00733884">
            <w:pPr>
              <w:spacing w:before="20" w:after="20"/>
              <w:jc w:val="center"/>
              <w:rPr>
                <w:rFonts w:ascii="Times New Roman" w:hAnsi="Times New Roman"/>
                <w:b/>
                <w:sz w:val="18"/>
                <w:szCs w:val="20"/>
              </w:rPr>
            </w:pPr>
            <w:r w:rsidRPr="00B05A3F">
              <w:rPr>
                <w:rFonts w:ascii="Times New Roman" w:hAnsi="Times New Roman"/>
                <w:b/>
                <w:sz w:val="18"/>
                <w:szCs w:val="20"/>
              </w:rPr>
              <w:t>Utorkom od 1</w:t>
            </w:r>
            <w:r>
              <w:rPr>
                <w:rFonts w:ascii="Times New Roman" w:hAnsi="Times New Roman"/>
                <w:b/>
                <w:sz w:val="18"/>
                <w:szCs w:val="20"/>
              </w:rPr>
              <w:t>4</w:t>
            </w:r>
            <w:r w:rsidRPr="00B05A3F">
              <w:rPr>
                <w:rFonts w:ascii="Times New Roman" w:hAnsi="Times New Roman"/>
                <w:b/>
                <w:sz w:val="18"/>
                <w:szCs w:val="20"/>
              </w:rPr>
              <w:t>,00h do 1</w:t>
            </w:r>
            <w:r>
              <w:rPr>
                <w:rFonts w:ascii="Times New Roman" w:hAnsi="Times New Roman"/>
                <w:b/>
                <w:sz w:val="18"/>
                <w:szCs w:val="20"/>
              </w:rPr>
              <w:t>5</w:t>
            </w:r>
            <w:r w:rsidRPr="00B05A3F">
              <w:rPr>
                <w:rFonts w:ascii="Times New Roman" w:hAnsi="Times New Roman"/>
                <w:b/>
                <w:sz w:val="18"/>
                <w:szCs w:val="20"/>
              </w:rPr>
              <w:t xml:space="preserve">,30h. </w:t>
            </w:r>
          </w:p>
        </w:tc>
        <w:tc>
          <w:tcPr>
            <w:tcW w:w="3852" w:type="dxa"/>
            <w:gridSpan w:val="16"/>
            <w:shd w:val="clear" w:color="auto" w:fill="F2F2F2"/>
            <w:vAlign w:val="center"/>
          </w:tcPr>
          <w:p w:rsidR="00733884" w:rsidRPr="00B05A3F" w:rsidRDefault="00733884" w:rsidP="00774297">
            <w:pPr>
              <w:tabs>
                <w:tab w:val="left" w:pos="1218"/>
              </w:tabs>
              <w:spacing w:before="20" w:after="20"/>
              <w:jc w:val="right"/>
              <w:rPr>
                <w:rFonts w:ascii="Times New Roman" w:hAnsi="Times New Roman"/>
                <w:b/>
                <w:color w:val="FF0000"/>
                <w:sz w:val="18"/>
                <w:szCs w:val="20"/>
              </w:rPr>
            </w:pPr>
            <w:r w:rsidRPr="00B05A3F">
              <w:rPr>
                <w:rFonts w:ascii="Times New Roman" w:hAnsi="Times New Roman"/>
                <w:b/>
                <w:sz w:val="18"/>
              </w:rPr>
              <w:t>Jezik/jezici na kojima se izvodi kolegij</w:t>
            </w:r>
          </w:p>
        </w:tc>
        <w:tc>
          <w:tcPr>
            <w:tcW w:w="1285" w:type="dxa"/>
            <w:gridSpan w:val="2"/>
            <w:vAlign w:val="center"/>
          </w:tcPr>
          <w:p w:rsidR="00733884" w:rsidRPr="00B05A3F" w:rsidRDefault="00733884" w:rsidP="00774297">
            <w:pPr>
              <w:tabs>
                <w:tab w:val="left" w:pos="1218"/>
              </w:tabs>
              <w:spacing w:before="20" w:after="20"/>
              <w:rPr>
                <w:rFonts w:ascii="Times New Roman" w:hAnsi="Times New Roman"/>
                <w:sz w:val="18"/>
                <w:szCs w:val="20"/>
              </w:rPr>
            </w:pPr>
            <w:r w:rsidRPr="00B05A3F">
              <w:rPr>
                <w:rFonts w:ascii="Times New Roman" w:hAnsi="Times New Roman"/>
                <w:sz w:val="18"/>
                <w:szCs w:val="20"/>
              </w:rPr>
              <w:t>Hrvatski</w:t>
            </w:r>
          </w:p>
        </w:tc>
      </w:tr>
      <w:tr w:rsidR="00733884" w:rsidRPr="00B05A3F" w:rsidTr="00774297">
        <w:trPr>
          <w:trHeight w:val="80"/>
        </w:trPr>
        <w:tc>
          <w:tcPr>
            <w:tcW w:w="1801" w:type="dxa"/>
            <w:shd w:val="clear" w:color="auto" w:fill="F2F2F2"/>
            <w:vAlign w:val="center"/>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Početak nastave</w:t>
            </w:r>
          </w:p>
        </w:tc>
        <w:tc>
          <w:tcPr>
            <w:tcW w:w="2350" w:type="dxa"/>
            <w:gridSpan w:val="12"/>
            <w:vAlign w:val="center"/>
          </w:tcPr>
          <w:p w:rsidR="00733884" w:rsidRPr="00B05A3F" w:rsidRDefault="00733884" w:rsidP="00774297">
            <w:pPr>
              <w:spacing w:before="20" w:after="20"/>
              <w:jc w:val="center"/>
              <w:rPr>
                <w:rFonts w:ascii="Times New Roman" w:hAnsi="Times New Roman"/>
                <w:b/>
                <w:sz w:val="18"/>
                <w:szCs w:val="20"/>
              </w:rPr>
            </w:pPr>
            <w:r>
              <w:rPr>
                <w:rFonts w:ascii="Times New Roman" w:hAnsi="Times New Roman"/>
                <w:sz w:val="18"/>
              </w:rPr>
              <w:t>2</w:t>
            </w:r>
            <w:r w:rsidRPr="00B05A3F">
              <w:rPr>
                <w:rFonts w:ascii="Times New Roman" w:hAnsi="Times New Roman"/>
                <w:sz w:val="18"/>
              </w:rPr>
              <w:t xml:space="preserve">5. </w:t>
            </w:r>
            <w:r>
              <w:rPr>
                <w:rFonts w:ascii="Times New Roman" w:hAnsi="Times New Roman"/>
                <w:sz w:val="18"/>
              </w:rPr>
              <w:t>veljače</w:t>
            </w:r>
            <w:r w:rsidRPr="00B05A3F">
              <w:rPr>
                <w:rFonts w:ascii="Times New Roman" w:hAnsi="Times New Roman"/>
                <w:sz w:val="18"/>
              </w:rPr>
              <w:t xml:space="preserve"> 2019. </w:t>
            </w:r>
          </w:p>
        </w:tc>
        <w:tc>
          <w:tcPr>
            <w:tcW w:w="3852" w:type="dxa"/>
            <w:gridSpan w:val="16"/>
            <w:shd w:val="clear" w:color="auto" w:fill="F2F2F2"/>
            <w:vAlign w:val="center"/>
          </w:tcPr>
          <w:p w:rsidR="00733884" w:rsidRPr="00B05A3F" w:rsidRDefault="00733884" w:rsidP="00774297">
            <w:pPr>
              <w:tabs>
                <w:tab w:val="left" w:pos="1218"/>
              </w:tabs>
              <w:spacing w:before="20" w:after="20"/>
              <w:jc w:val="right"/>
              <w:rPr>
                <w:rFonts w:ascii="Times New Roman" w:hAnsi="Times New Roman"/>
                <w:b/>
                <w:sz w:val="18"/>
              </w:rPr>
            </w:pPr>
            <w:r w:rsidRPr="00B05A3F">
              <w:rPr>
                <w:rFonts w:ascii="Times New Roman" w:hAnsi="Times New Roman"/>
                <w:b/>
                <w:sz w:val="18"/>
              </w:rPr>
              <w:t>Završetak nastave</w:t>
            </w:r>
          </w:p>
        </w:tc>
        <w:tc>
          <w:tcPr>
            <w:tcW w:w="1285" w:type="dxa"/>
            <w:gridSpan w:val="2"/>
            <w:vAlign w:val="center"/>
          </w:tcPr>
          <w:p w:rsidR="00733884" w:rsidRPr="00B05A3F" w:rsidRDefault="00733884" w:rsidP="00774297">
            <w:pPr>
              <w:tabs>
                <w:tab w:val="left" w:pos="1218"/>
              </w:tabs>
              <w:spacing w:before="20" w:after="20"/>
              <w:rPr>
                <w:rFonts w:ascii="Times New Roman" w:hAnsi="Times New Roman"/>
                <w:sz w:val="18"/>
                <w:szCs w:val="20"/>
              </w:rPr>
            </w:pPr>
            <w:r w:rsidRPr="00B05A3F">
              <w:rPr>
                <w:rFonts w:ascii="Times New Roman" w:hAnsi="Times New Roman"/>
                <w:sz w:val="18"/>
              </w:rPr>
              <w:t xml:space="preserve">2. </w:t>
            </w:r>
            <w:r>
              <w:rPr>
                <w:rFonts w:ascii="Times New Roman" w:hAnsi="Times New Roman"/>
                <w:sz w:val="18"/>
              </w:rPr>
              <w:t>lipnja</w:t>
            </w:r>
            <w:r w:rsidRPr="00B05A3F">
              <w:rPr>
                <w:rFonts w:ascii="Times New Roman" w:hAnsi="Times New Roman"/>
                <w:sz w:val="18"/>
              </w:rPr>
              <w:t xml:space="preserve"> 2020. </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Preduvjeti za upis kolegija</w:t>
            </w:r>
          </w:p>
        </w:tc>
        <w:tc>
          <w:tcPr>
            <w:tcW w:w="7487" w:type="dxa"/>
            <w:gridSpan w:val="30"/>
          </w:tcPr>
          <w:p w:rsidR="00733884" w:rsidRPr="00B05A3F" w:rsidRDefault="00733884" w:rsidP="00774297">
            <w:pPr>
              <w:tabs>
                <w:tab w:val="left" w:pos="1218"/>
              </w:tabs>
              <w:spacing w:before="20" w:after="20"/>
              <w:rPr>
                <w:rFonts w:ascii="Times New Roman" w:hAnsi="Times New Roman"/>
                <w:sz w:val="18"/>
              </w:rPr>
            </w:pPr>
          </w:p>
        </w:tc>
      </w:tr>
      <w:tr w:rsidR="00733884" w:rsidRPr="00B05A3F" w:rsidTr="00774297">
        <w:tc>
          <w:tcPr>
            <w:tcW w:w="9288" w:type="dxa"/>
            <w:gridSpan w:val="31"/>
            <w:shd w:val="clear" w:color="auto" w:fill="D9D9D9"/>
          </w:tcPr>
          <w:p w:rsidR="00733884" w:rsidRPr="00B05A3F" w:rsidRDefault="00733884" w:rsidP="00774297">
            <w:pPr>
              <w:spacing w:before="20" w:after="20"/>
              <w:rPr>
                <w:rFonts w:ascii="Times New Roman" w:hAnsi="Times New Roman"/>
                <w:sz w:val="18"/>
                <w:szCs w:val="18"/>
              </w:rPr>
            </w:pP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Nositelj kolegija</w:t>
            </w:r>
          </w:p>
        </w:tc>
        <w:tc>
          <w:tcPr>
            <w:tcW w:w="7487" w:type="dxa"/>
            <w:gridSpan w:val="30"/>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xml:space="preserve">Doc. dr. sc. Marko Vučetić  </w:t>
            </w:r>
          </w:p>
        </w:tc>
      </w:tr>
      <w:tr w:rsidR="00733884" w:rsidRPr="00B05A3F" w:rsidTr="00774297">
        <w:tc>
          <w:tcPr>
            <w:tcW w:w="1801" w:type="dxa"/>
            <w:shd w:val="clear" w:color="auto" w:fill="F2F2F2"/>
          </w:tcPr>
          <w:p w:rsidR="00733884" w:rsidRPr="00B05A3F" w:rsidRDefault="00733884" w:rsidP="00774297">
            <w:pPr>
              <w:spacing w:before="20" w:after="20"/>
              <w:jc w:val="right"/>
              <w:rPr>
                <w:rFonts w:ascii="Times New Roman" w:hAnsi="Times New Roman"/>
                <w:b/>
                <w:sz w:val="18"/>
              </w:rPr>
            </w:pPr>
            <w:r w:rsidRPr="00B05A3F">
              <w:rPr>
                <w:rFonts w:ascii="Times New Roman" w:hAnsi="Times New Roman"/>
                <w:b/>
                <w:sz w:val="18"/>
              </w:rPr>
              <w:t>E-mail</w:t>
            </w:r>
          </w:p>
        </w:tc>
        <w:tc>
          <w:tcPr>
            <w:tcW w:w="3999" w:type="dxa"/>
            <w:gridSpan w:val="19"/>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mvucetic@unizd.hr</w:t>
            </w:r>
          </w:p>
        </w:tc>
        <w:tc>
          <w:tcPr>
            <w:tcW w:w="1197" w:type="dxa"/>
            <w:gridSpan w:val="4"/>
            <w:shd w:val="clear" w:color="auto" w:fill="F2F2F2"/>
          </w:tcPr>
          <w:p w:rsidR="00733884" w:rsidRPr="00B05A3F" w:rsidRDefault="00733884" w:rsidP="00774297">
            <w:pPr>
              <w:tabs>
                <w:tab w:val="left" w:pos="1218"/>
              </w:tabs>
              <w:spacing w:before="20" w:after="20"/>
              <w:rPr>
                <w:rFonts w:ascii="Times New Roman" w:hAnsi="Times New Roman"/>
                <w:b/>
                <w:sz w:val="18"/>
              </w:rPr>
            </w:pPr>
            <w:r w:rsidRPr="00B05A3F">
              <w:rPr>
                <w:rFonts w:ascii="Times New Roman" w:hAnsi="Times New Roman"/>
                <w:b/>
                <w:sz w:val="18"/>
              </w:rPr>
              <w:t>Konzultacije</w:t>
            </w:r>
          </w:p>
        </w:tc>
        <w:tc>
          <w:tcPr>
            <w:tcW w:w="2291" w:type="dxa"/>
            <w:gridSpan w:val="7"/>
          </w:tcPr>
          <w:p w:rsidR="00733884" w:rsidRPr="00B05A3F" w:rsidRDefault="00733884" w:rsidP="00774297">
            <w:pPr>
              <w:tabs>
                <w:tab w:val="left" w:pos="1218"/>
              </w:tabs>
              <w:spacing w:before="20" w:after="20"/>
              <w:rPr>
                <w:rFonts w:ascii="Times New Roman" w:hAnsi="Times New Roman"/>
                <w:sz w:val="18"/>
              </w:rPr>
            </w:pP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Izvođač kolegija</w:t>
            </w:r>
          </w:p>
        </w:tc>
        <w:tc>
          <w:tcPr>
            <w:tcW w:w="7487" w:type="dxa"/>
            <w:gridSpan w:val="30"/>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xml:space="preserve">Dr. sc. Siniša Matić </w:t>
            </w:r>
          </w:p>
        </w:tc>
      </w:tr>
      <w:tr w:rsidR="00733884" w:rsidRPr="00B05A3F" w:rsidTr="00774297">
        <w:tc>
          <w:tcPr>
            <w:tcW w:w="1801" w:type="dxa"/>
            <w:shd w:val="clear" w:color="auto" w:fill="F2F2F2"/>
          </w:tcPr>
          <w:p w:rsidR="00733884" w:rsidRPr="00B05A3F" w:rsidRDefault="00733884" w:rsidP="00774297">
            <w:pPr>
              <w:spacing w:before="20" w:after="20"/>
              <w:jc w:val="right"/>
              <w:rPr>
                <w:rFonts w:ascii="Times New Roman" w:hAnsi="Times New Roman"/>
                <w:b/>
                <w:sz w:val="18"/>
              </w:rPr>
            </w:pPr>
            <w:r w:rsidRPr="00B05A3F">
              <w:rPr>
                <w:rFonts w:ascii="Times New Roman" w:hAnsi="Times New Roman"/>
                <w:b/>
                <w:sz w:val="18"/>
              </w:rPr>
              <w:t>E-mail</w:t>
            </w:r>
          </w:p>
        </w:tc>
        <w:tc>
          <w:tcPr>
            <w:tcW w:w="3999" w:type="dxa"/>
            <w:gridSpan w:val="19"/>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sinmatic@gmail.com</w:t>
            </w:r>
          </w:p>
        </w:tc>
        <w:tc>
          <w:tcPr>
            <w:tcW w:w="1197" w:type="dxa"/>
            <w:gridSpan w:val="4"/>
            <w:shd w:val="clear" w:color="auto" w:fill="F2F2F2"/>
          </w:tcPr>
          <w:p w:rsidR="00733884" w:rsidRPr="00B05A3F" w:rsidRDefault="00733884" w:rsidP="00774297">
            <w:pPr>
              <w:tabs>
                <w:tab w:val="left" w:pos="1218"/>
              </w:tabs>
              <w:spacing w:before="20" w:after="20"/>
              <w:rPr>
                <w:rFonts w:ascii="Times New Roman" w:hAnsi="Times New Roman"/>
                <w:b/>
                <w:sz w:val="18"/>
              </w:rPr>
            </w:pPr>
            <w:r w:rsidRPr="00B05A3F">
              <w:rPr>
                <w:rFonts w:ascii="Times New Roman" w:hAnsi="Times New Roman"/>
                <w:b/>
                <w:sz w:val="18"/>
              </w:rPr>
              <w:t>Konzultacije</w:t>
            </w:r>
          </w:p>
        </w:tc>
        <w:tc>
          <w:tcPr>
            <w:tcW w:w="2291" w:type="dxa"/>
            <w:gridSpan w:val="7"/>
          </w:tcPr>
          <w:p w:rsidR="00733884" w:rsidRPr="00B05A3F" w:rsidRDefault="00733884" w:rsidP="00733884">
            <w:pPr>
              <w:tabs>
                <w:tab w:val="left" w:pos="1218"/>
              </w:tabs>
              <w:spacing w:before="20" w:after="20"/>
              <w:rPr>
                <w:rFonts w:ascii="Times New Roman" w:hAnsi="Times New Roman"/>
                <w:sz w:val="18"/>
              </w:rPr>
            </w:pPr>
            <w:r w:rsidRPr="00B05A3F">
              <w:rPr>
                <w:rFonts w:ascii="Times New Roman" w:hAnsi="Times New Roman"/>
                <w:sz w:val="18"/>
              </w:rPr>
              <w:t>Utorkom od 1</w:t>
            </w:r>
            <w:r>
              <w:rPr>
                <w:rFonts w:ascii="Times New Roman" w:hAnsi="Times New Roman"/>
                <w:sz w:val="18"/>
              </w:rPr>
              <w:t>5</w:t>
            </w:r>
            <w:r w:rsidRPr="00B05A3F">
              <w:rPr>
                <w:rFonts w:ascii="Times New Roman" w:hAnsi="Times New Roman"/>
                <w:sz w:val="18"/>
              </w:rPr>
              <w:t xml:space="preserve">:30h do </w:t>
            </w:r>
            <w:r>
              <w:rPr>
                <w:rFonts w:ascii="Times New Roman" w:hAnsi="Times New Roman"/>
                <w:sz w:val="18"/>
              </w:rPr>
              <w:t>16:</w:t>
            </w:r>
            <w:r w:rsidRPr="00B05A3F">
              <w:rPr>
                <w:rFonts w:ascii="Times New Roman" w:hAnsi="Times New Roman"/>
                <w:sz w:val="18"/>
              </w:rPr>
              <w:t>00h</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Suradnik na kolegiju</w:t>
            </w:r>
          </w:p>
        </w:tc>
        <w:tc>
          <w:tcPr>
            <w:tcW w:w="7487" w:type="dxa"/>
            <w:gridSpan w:val="30"/>
          </w:tcPr>
          <w:p w:rsidR="00733884" w:rsidRPr="00B05A3F" w:rsidRDefault="00733884" w:rsidP="00774297">
            <w:pPr>
              <w:tabs>
                <w:tab w:val="left" w:pos="1218"/>
              </w:tabs>
              <w:spacing w:before="20" w:after="20"/>
              <w:rPr>
                <w:rFonts w:ascii="Times New Roman" w:hAnsi="Times New Roman"/>
                <w:sz w:val="18"/>
              </w:rPr>
            </w:pPr>
          </w:p>
        </w:tc>
      </w:tr>
      <w:tr w:rsidR="00733884" w:rsidRPr="00B05A3F" w:rsidTr="00774297">
        <w:tc>
          <w:tcPr>
            <w:tcW w:w="1801" w:type="dxa"/>
            <w:shd w:val="clear" w:color="auto" w:fill="F2F2F2"/>
          </w:tcPr>
          <w:p w:rsidR="00733884" w:rsidRPr="00B05A3F" w:rsidRDefault="00733884" w:rsidP="00774297">
            <w:pPr>
              <w:spacing w:before="20" w:after="20"/>
              <w:jc w:val="right"/>
              <w:rPr>
                <w:rFonts w:ascii="Times New Roman" w:hAnsi="Times New Roman"/>
                <w:b/>
                <w:sz w:val="18"/>
              </w:rPr>
            </w:pPr>
            <w:r w:rsidRPr="00B05A3F">
              <w:rPr>
                <w:rFonts w:ascii="Times New Roman" w:hAnsi="Times New Roman"/>
                <w:b/>
                <w:sz w:val="18"/>
              </w:rPr>
              <w:t>E-mail</w:t>
            </w:r>
          </w:p>
        </w:tc>
        <w:tc>
          <w:tcPr>
            <w:tcW w:w="3999" w:type="dxa"/>
            <w:gridSpan w:val="19"/>
          </w:tcPr>
          <w:p w:rsidR="00733884" w:rsidRPr="00B05A3F" w:rsidRDefault="00733884" w:rsidP="00774297">
            <w:pPr>
              <w:tabs>
                <w:tab w:val="left" w:pos="1218"/>
              </w:tabs>
              <w:spacing w:before="20" w:after="20"/>
              <w:rPr>
                <w:rFonts w:ascii="Times New Roman" w:hAnsi="Times New Roman"/>
                <w:sz w:val="18"/>
              </w:rPr>
            </w:pPr>
          </w:p>
        </w:tc>
        <w:tc>
          <w:tcPr>
            <w:tcW w:w="1197" w:type="dxa"/>
            <w:gridSpan w:val="4"/>
            <w:shd w:val="clear" w:color="auto" w:fill="F2F2F2"/>
          </w:tcPr>
          <w:p w:rsidR="00733884" w:rsidRPr="00B05A3F" w:rsidRDefault="00733884" w:rsidP="00774297">
            <w:pPr>
              <w:tabs>
                <w:tab w:val="left" w:pos="1218"/>
              </w:tabs>
              <w:spacing w:before="20" w:after="20"/>
              <w:rPr>
                <w:rFonts w:ascii="Times New Roman" w:hAnsi="Times New Roman"/>
                <w:b/>
                <w:sz w:val="18"/>
              </w:rPr>
            </w:pPr>
            <w:r w:rsidRPr="00B05A3F">
              <w:rPr>
                <w:rFonts w:ascii="Times New Roman" w:hAnsi="Times New Roman"/>
                <w:b/>
                <w:sz w:val="18"/>
              </w:rPr>
              <w:t>Konzultacije</w:t>
            </w:r>
          </w:p>
        </w:tc>
        <w:tc>
          <w:tcPr>
            <w:tcW w:w="2291" w:type="dxa"/>
            <w:gridSpan w:val="7"/>
          </w:tcPr>
          <w:p w:rsidR="00733884" w:rsidRPr="00B05A3F" w:rsidRDefault="00733884" w:rsidP="00774297">
            <w:pPr>
              <w:tabs>
                <w:tab w:val="left" w:pos="1218"/>
              </w:tabs>
              <w:spacing w:before="20" w:after="20"/>
              <w:rPr>
                <w:rFonts w:ascii="Times New Roman" w:hAnsi="Times New Roman"/>
                <w:sz w:val="18"/>
              </w:rPr>
            </w:pP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Suradnik na kolegiju</w:t>
            </w:r>
          </w:p>
        </w:tc>
        <w:tc>
          <w:tcPr>
            <w:tcW w:w="7487" w:type="dxa"/>
            <w:gridSpan w:val="30"/>
          </w:tcPr>
          <w:p w:rsidR="00733884" w:rsidRPr="00B05A3F" w:rsidRDefault="00733884" w:rsidP="00774297">
            <w:pPr>
              <w:tabs>
                <w:tab w:val="left" w:pos="1218"/>
              </w:tabs>
              <w:spacing w:before="20" w:after="20"/>
              <w:rPr>
                <w:rFonts w:ascii="Times New Roman" w:hAnsi="Times New Roman"/>
                <w:sz w:val="18"/>
              </w:rPr>
            </w:pPr>
          </w:p>
        </w:tc>
      </w:tr>
      <w:tr w:rsidR="00733884" w:rsidRPr="00B05A3F" w:rsidTr="00774297">
        <w:tc>
          <w:tcPr>
            <w:tcW w:w="1801" w:type="dxa"/>
            <w:shd w:val="clear" w:color="auto" w:fill="F2F2F2"/>
          </w:tcPr>
          <w:p w:rsidR="00733884" w:rsidRPr="00B05A3F" w:rsidRDefault="00733884" w:rsidP="00774297">
            <w:pPr>
              <w:spacing w:before="20" w:after="20"/>
              <w:jc w:val="right"/>
              <w:rPr>
                <w:rFonts w:ascii="Times New Roman" w:hAnsi="Times New Roman"/>
                <w:b/>
                <w:sz w:val="18"/>
              </w:rPr>
            </w:pPr>
            <w:r w:rsidRPr="00B05A3F">
              <w:rPr>
                <w:rFonts w:ascii="Times New Roman" w:hAnsi="Times New Roman"/>
                <w:b/>
                <w:sz w:val="18"/>
              </w:rPr>
              <w:t>E-mail</w:t>
            </w:r>
          </w:p>
        </w:tc>
        <w:tc>
          <w:tcPr>
            <w:tcW w:w="3999" w:type="dxa"/>
            <w:gridSpan w:val="19"/>
          </w:tcPr>
          <w:p w:rsidR="00733884" w:rsidRPr="00B05A3F" w:rsidRDefault="00733884" w:rsidP="00774297">
            <w:pPr>
              <w:tabs>
                <w:tab w:val="left" w:pos="1218"/>
              </w:tabs>
              <w:spacing w:before="20" w:after="20"/>
              <w:rPr>
                <w:rFonts w:ascii="Times New Roman" w:hAnsi="Times New Roman"/>
                <w:sz w:val="18"/>
              </w:rPr>
            </w:pPr>
          </w:p>
        </w:tc>
        <w:tc>
          <w:tcPr>
            <w:tcW w:w="1197" w:type="dxa"/>
            <w:gridSpan w:val="4"/>
            <w:shd w:val="clear" w:color="auto" w:fill="F2F2F2"/>
          </w:tcPr>
          <w:p w:rsidR="00733884" w:rsidRPr="00B05A3F" w:rsidRDefault="00733884" w:rsidP="00774297">
            <w:pPr>
              <w:tabs>
                <w:tab w:val="left" w:pos="1218"/>
              </w:tabs>
              <w:spacing w:before="20" w:after="20"/>
              <w:rPr>
                <w:rFonts w:ascii="Times New Roman" w:hAnsi="Times New Roman"/>
                <w:b/>
                <w:sz w:val="18"/>
              </w:rPr>
            </w:pPr>
            <w:r w:rsidRPr="00B05A3F">
              <w:rPr>
                <w:rFonts w:ascii="Times New Roman" w:hAnsi="Times New Roman"/>
                <w:b/>
                <w:sz w:val="18"/>
              </w:rPr>
              <w:t>Konzultacije</w:t>
            </w:r>
          </w:p>
        </w:tc>
        <w:tc>
          <w:tcPr>
            <w:tcW w:w="2291" w:type="dxa"/>
            <w:gridSpan w:val="7"/>
          </w:tcPr>
          <w:p w:rsidR="00733884" w:rsidRPr="00B05A3F" w:rsidRDefault="00733884" w:rsidP="00774297">
            <w:pPr>
              <w:tabs>
                <w:tab w:val="left" w:pos="1218"/>
              </w:tabs>
              <w:spacing w:before="20" w:after="20"/>
              <w:rPr>
                <w:rFonts w:ascii="Times New Roman" w:hAnsi="Times New Roman"/>
                <w:sz w:val="18"/>
              </w:rPr>
            </w:pPr>
          </w:p>
        </w:tc>
      </w:tr>
      <w:tr w:rsidR="00733884" w:rsidRPr="00B05A3F" w:rsidTr="00774297">
        <w:tc>
          <w:tcPr>
            <w:tcW w:w="9288" w:type="dxa"/>
            <w:gridSpan w:val="31"/>
            <w:shd w:val="clear" w:color="auto" w:fill="D9D9D9"/>
          </w:tcPr>
          <w:p w:rsidR="00733884" w:rsidRPr="00B05A3F" w:rsidRDefault="00733884" w:rsidP="00774297">
            <w:pPr>
              <w:tabs>
                <w:tab w:val="left" w:pos="1218"/>
              </w:tabs>
              <w:spacing w:before="20" w:after="20"/>
              <w:rPr>
                <w:rFonts w:ascii="Times New Roman" w:hAnsi="Times New Roman"/>
                <w:sz w:val="18"/>
                <w:szCs w:val="18"/>
              </w:rPr>
            </w:pPr>
          </w:p>
        </w:tc>
      </w:tr>
      <w:tr w:rsidR="00733884" w:rsidRPr="00B05A3F" w:rsidTr="00774297">
        <w:tc>
          <w:tcPr>
            <w:tcW w:w="1801" w:type="dxa"/>
            <w:vMerge w:val="restart"/>
            <w:shd w:val="clear" w:color="auto" w:fill="F2F2F2"/>
            <w:vAlign w:val="center"/>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Vrste izvođenja nastave</w:t>
            </w:r>
          </w:p>
        </w:tc>
        <w:tc>
          <w:tcPr>
            <w:tcW w:w="1495" w:type="dxa"/>
            <w:gridSpan w:val="7"/>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predavanja</w:t>
            </w:r>
          </w:p>
        </w:tc>
        <w:tc>
          <w:tcPr>
            <w:tcW w:w="1498" w:type="dxa"/>
            <w:gridSpan w:val="8"/>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seminari i radionice</w:t>
            </w:r>
          </w:p>
        </w:tc>
        <w:tc>
          <w:tcPr>
            <w:tcW w:w="1497" w:type="dxa"/>
            <w:gridSpan w:val="5"/>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vježbe</w:t>
            </w:r>
          </w:p>
        </w:tc>
        <w:tc>
          <w:tcPr>
            <w:tcW w:w="1497" w:type="dxa"/>
            <w:gridSpan w:val="7"/>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e-učenje</w:t>
            </w:r>
          </w:p>
        </w:tc>
        <w:tc>
          <w:tcPr>
            <w:tcW w:w="1500" w:type="dxa"/>
            <w:gridSpan w:val="3"/>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terenska nastava</w:t>
            </w:r>
          </w:p>
        </w:tc>
      </w:tr>
      <w:tr w:rsidR="00733884" w:rsidRPr="00B05A3F" w:rsidTr="00774297">
        <w:tc>
          <w:tcPr>
            <w:tcW w:w="1801" w:type="dxa"/>
            <w:vMerge/>
            <w:shd w:val="clear" w:color="auto" w:fill="F2F2F2"/>
          </w:tcPr>
          <w:p w:rsidR="00733884" w:rsidRPr="00B05A3F" w:rsidRDefault="00733884" w:rsidP="00774297">
            <w:pPr>
              <w:spacing w:before="20" w:after="20"/>
              <w:rPr>
                <w:rFonts w:ascii="Times New Roman" w:hAnsi="Times New Roman"/>
                <w:b/>
                <w:sz w:val="18"/>
              </w:rPr>
            </w:pPr>
          </w:p>
        </w:tc>
        <w:tc>
          <w:tcPr>
            <w:tcW w:w="1495" w:type="dxa"/>
            <w:gridSpan w:val="7"/>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samostalni zadaci</w:t>
            </w:r>
          </w:p>
        </w:tc>
        <w:tc>
          <w:tcPr>
            <w:tcW w:w="1498" w:type="dxa"/>
            <w:gridSpan w:val="8"/>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multimedija i mreža</w:t>
            </w:r>
          </w:p>
        </w:tc>
        <w:tc>
          <w:tcPr>
            <w:tcW w:w="1497" w:type="dxa"/>
            <w:gridSpan w:val="5"/>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laboratorij</w:t>
            </w:r>
          </w:p>
        </w:tc>
        <w:tc>
          <w:tcPr>
            <w:tcW w:w="1497" w:type="dxa"/>
            <w:gridSpan w:val="7"/>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mentorski rad</w:t>
            </w:r>
          </w:p>
        </w:tc>
        <w:tc>
          <w:tcPr>
            <w:tcW w:w="1500" w:type="dxa"/>
            <w:gridSpan w:val="3"/>
            <w:vAlign w:val="center"/>
          </w:tcPr>
          <w:p w:rsidR="00733884" w:rsidRPr="00B05A3F" w:rsidRDefault="00733884"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ostalo</w:t>
            </w:r>
          </w:p>
        </w:tc>
      </w:tr>
      <w:tr w:rsidR="00733884" w:rsidRPr="00B05A3F" w:rsidTr="00774297">
        <w:tc>
          <w:tcPr>
            <w:tcW w:w="3296" w:type="dxa"/>
            <w:gridSpan w:val="8"/>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Ishodi učenja kolegija</w:t>
            </w:r>
          </w:p>
        </w:tc>
        <w:tc>
          <w:tcPr>
            <w:tcW w:w="5992" w:type="dxa"/>
            <w:gridSpan w:val="23"/>
            <w:vAlign w:val="center"/>
          </w:tcPr>
          <w:p w:rsidR="00733884" w:rsidRDefault="00733884" w:rsidP="00733884">
            <w:pPr>
              <w:suppressAutoHyphens/>
              <w:spacing w:after="0" w:line="240" w:lineRule="auto"/>
              <w:ind w:left="-8"/>
              <w:rPr>
                <w:rFonts w:ascii="Arial Narrow" w:hAnsi="Arial Narrow" w:cs="Arial"/>
              </w:rPr>
            </w:pPr>
            <w:r>
              <w:rPr>
                <w:rFonts w:ascii="Arial Narrow" w:hAnsi="Arial Narrow" w:cs="Arial"/>
              </w:rPr>
              <w:t xml:space="preserve">Cilj je ovog kolegija upoznati studente s osnovama modalne logike prvoga reda i pripremiti ih za dalja istraživanja  u logikama višega reda.   </w:t>
            </w:r>
          </w:p>
          <w:p w:rsidR="00733884" w:rsidRDefault="00733884" w:rsidP="00733884">
            <w:pPr>
              <w:suppressAutoHyphens/>
              <w:spacing w:after="0" w:line="240" w:lineRule="auto"/>
              <w:ind w:left="720"/>
              <w:rPr>
                <w:rFonts w:ascii="Arial Narrow" w:hAnsi="Arial Narrow" w:cs="Arial"/>
              </w:rPr>
            </w:pPr>
          </w:p>
          <w:p w:rsidR="00733884" w:rsidRDefault="00733884" w:rsidP="00733884">
            <w:pPr>
              <w:suppressAutoHyphens/>
              <w:spacing w:after="0" w:line="240" w:lineRule="auto"/>
            </w:pPr>
            <w:r>
              <w:rPr>
                <w:rFonts w:ascii="Arial Narrow" w:hAnsi="Arial Narrow" w:cs="Arial"/>
              </w:rPr>
              <w:t>Nakon položenog ispita iz ovog kolegija studenti će:</w:t>
            </w:r>
            <w:r>
              <w:t xml:space="preserve"> </w:t>
            </w:r>
          </w:p>
          <w:p w:rsidR="00733884" w:rsidRDefault="00733884" w:rsidP="00733884">
            <w:pPr>
              <w:suppressAutoHyphens/>
              <w:spacing w:after="0" w:line="240" w:lineRule="auto"/>
            </w:pPr>
          </w:p>
          <w:p w:rsidR="00733884" w:rsidRDefault="00733884" w:rsidP="00733884">
            <w:pPr>
              <w:pStyle w:val="ListParagraph"/>
              <w:numPr>
                <w:ilvl w:val="0"/>
                <w:numId w:val="1"/>
              </w:numPr>
              <w:suppressAutoHyphens/>
              <w:spacing w:before="0" w:after="0"/>
              <w:rPr>
                <w:rFonts w:ascii="Arial Narrow" w:hAnsi="Arial Narrow"/>
              </w:rPr>
            </w:pPr>
            <w:r>
              <w:rPr>
                <w:rFonts w:ascii="Arial Narrow" w:hAnsi="Arial Narrow"/>
              </w:rPr>
              <w:t xml:space="preserve">Poznavati modalnu propozicijsku logiku i imati vještinu dokazivanja  u različitim sustavim a PML (tabloa i aksiomi) </w:t>
            </w:r>
          </w:p>
          <w:p w:rsidR="00733884" w:rsidRDefault="00733884" w:rsidP="00733884">
            <w:pPr>
              <w:pStyle w:val="ListParagraph"/>
              <w:numPr>
                <w:ilvl w:val="0"/>
                <w:numId w:val="1"/>
              </w:numPr>
              <w:suppressAutoHyphens/>
              <w:spacing w:before="0" w:after="0"/>
              <w:rPr>
                <w:rFonts w:ascii="Arial Narrow" w:hAnsi="Arial Narrow"/>
              </w:rPr>
            </w:pPr>
            <w:r>
              <w:rPr>
                <w:rFonts w:ascii="Arial Narrow" w:hAnsi="Arial Narrow"/>
              </w:rPr>
              <w:t xml:space="preserve">Poznavati kvantificiranu predikatsku modalnu logiku uz </w:t>
            </w:r>
            <w:r>
              <w:rPr>
                <w:rFonts w:ascii="Arial Narrow" w:hAnsi="Arial Narrow"/>
              </w:rPr>
              <w:lastRenderedPageBreak/>
              <w:t xml:space="preserve">odgovarajuće vještine dokazivanja pomoću tabloa i aksioma. </w:t>
            </w:r>
          </w:p>
          <w:p w:rsidR="00733884" w:rsidRDefault="00733884" w:rsidP="00733884">
            <w:pPr>
              <w:suppressAutoHyphens/>
              <w:spacing w:after="0" w:line="240" w:lineRule="auto"/>
              <w:rPr>
                <w:rFonts w:ascii="Arial Narrow" w:hAnsi="Arial Narrow"/>
              </w:rPr>
            </w:pPr>
          </w:p>
          <w:p w:rsidR="00733884" w:rsidRPr="00B05A3F" w:rsidRDefault="00733884" w:rsidP="00733884">
            <w:pPr>
              <w:suppressAutoHyphens/>
              <w:spacing w:after="0" w:line="240" w:lineRule="auto"/>
              <w:ind w:left="720"/>
              <w:rPr>
                <w:rFonts w:ascii="Arial Narrow" w:hAnsi="Arial Narrow"/>
              </w:rPr>
            </w:pPr>
            <w:r>
              <w:rPr>
                <w:rFonts w:ascii="Arial Narrow" w:hAnsi="Arial Narrow"/>
              </w:rPr>
              <w:t>Napomena: kako kolegij u svakom aspektu podrazumijeva vrlo dobro poznavanje logike prvoga reda, brzina obrade lekcija i dometa vježbi ovisi o  predznanju u studentskoj grupi.</w:t>
            </w:r>
          </w:p>
          <w:p w:rsidR="00733884" w:rsidRPr="00B05A3F" w:rsidRDefault="00733884" w:rsidP="00774297">
            <w:pPr>
              <w:tabs>
                <w:tab w:val="left" w:pos="1218"/>
              </w:tabs>
              <w:spacing w:before="20" w:after="20"/>
              <w:rPr>
                <w:rFonts w:ascii="Times New Roman" w:hAnsi="Times New Roman"/>
                <w:sz w:val="18"/>
              </w:rPr>
            </w:pPr>
            <w:r w:rsidRPr="00B05A3F">
              <w:rPr>
                <w:rFonts w:ascii="Arial Narrow" w:hAnsi="Arial Narrow"/>
              </w:rPr>
              <w:t xml:space="preserve">  </w:t>
            </w:r>
          </w:p>
        </w:tc>
      </w:tr>
      <w:tr w:rsidR="00733884" w:rsidRPr="00B05A3F" w:rsidTr="00774297">
        <w:tc>
          <w:tcPr>
            <w:tcW w:w="3296" w:type="dxa"/>
            <w:gridSpan w:val="8"/>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lastRenderedPageBreak/>
              <w:t>Ishodi učenja na razini programa kojima kolegij doprinosi</w:t>
            </w:r>
          </w:p>
        </w:tc>
        <w:tc>
          <w:tcPr>
            <w:tcW w:w="5992" w:type="dxa"/>
            <w:gridSpan w:val="23"/>
            <w:vAlign w:val="center"/>
          </w:tcPr>
          <w:p w:rsidR="00733884" w:rsidRPr="00B05A3F" w:rsidRDefault="00733884" w:rsidP="00774297">
            <w:pPr>
              <w:tabs>
                <w:tab w:val="left" w:pos="1218"/>
              </w:tabs>
              <w:spacing w:before="20" w:after="20"/>
              <w:rPr>
                <w:rFonts w:ascii="Times New Roman" w:hAnsi="Times New Roman"/>
                <w:sz w:val="18"/>
              </w:rPr>
            </w:pPr>
          </w:p>
        </w:tc>
      </w:tr>
      <w:tr w:rsidR="00733884" w:rsidRPr="00B05A3F" w:rsidTr="00774297">
        <w:tc>
          <w:tcPr>
            <w:tcW w:w="9288" w:type="dxa"/>
            <w:gridSpan w:val="31"/>
            <w:shd w:val="clear" w:color="auto" w:fill="D9D9D9"/>
          </w:tcPr>
          <w:p w:rsidR="00733884" w:rsidRPr="00B05A3F" w:rsidRDefault="00733884" w:rsidP="00774297">
            <w:pPr>
              <w:spacing w:before="20" w:after="20"/>
              <w:rPr>
                <w:rFonts w:ascii="Times New Roman" w:hAnsi="Times New Roman"/>
                <w:sz w:val="18"/>
                <w:szCs w:val="20"/>
              </w:rPr>
            </w:pPr>
          </w:p>
        </w:tc>
      </w:tr>
      <w:tr w:rsidR="00733884" w:rsidRPr="00B05A3F" w:rsidTr="00774297">
        <w:trPr>
          <w:trHeight w:val="190"/>
        </w:trPr>
        <w:tc>
          <w:tcPr>
            <w:tcW w:w="1801" w:type="dxa"/>
            <w:vMerge w:val="restart"/>
            <w:shd w:val="clear" w:color="auto" w:fill="F2F2F2"/>
            <w:vAlign w:val="center"/>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Načini praćenja studenata</w:t>
            </w:r>
          </w:p>
        </w:tc>
        <w:tc>
          <w:tcPr>
            <w:tcW w:w="1495" w:type="dxa"/>
            <w:gridSpan w:val="7"/>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pohađanje nastave</w:t>
            </w:r>
          </w:p>
        </w:tc>
        <w:tc>
          <w:tcPr>
            <w:tcW w:w="1498" w:type="dxa"/>
            <w:gridSpan w:val="8"/>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priprema za nastavu</w:t>
            </w:r>
          </w:p>
        </w:tc>
        <w:tc>
          <w:tcPr>
            <w:tcW w:w="1497" w:type="dxa"/>
            <w:gridSpan w:val="5"/>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domaće zadaće</w:t>
            </w:r>
          </w:p>
        </w:tc>
        <w:tc>
          <w:tcPr>
            <w:tcW w:w="1497" w:type="dxa"/>
            <w:gridSpan w:val="7"/>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kontinuirana evaluacija</w:t>
            </w:r>
          </w:p>
        </w:tc>
        <w:tc>
          <w:tcPr>
            <w:tcW w:w="1500" w:type="dxa"/>
            <w:gridSpan w:val="3"/>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istraživanje</w:t>
            </w:r>
          </w:p>
        </w:tc>
      </w:tr>
      <w:tr w:rsidR="00733884" w:rsidRPr="00B05A3F" w:rsidTr="00774297">
        <w:trPr>
          <w:trHeight w:val="190"/>
        </w:trPr>
        <w:tc>
          <w:tcPr>
            <w:tcW w:w="1801" w:type="dxa"/>
            <w:vMerge/>
            <w:shd w:val="clear" w:color="auto" w:fill="F2F2F2"/>
          </w:tcPr>
          <w:p w:rsidR="00733884" w:rsidRPr="00B05A3F" w:rsidRDefault="00733884" w:rsidP="00774297">
            <w:pPr>
              <w:spacing w:before="20" w:after="20"/>
              <w:rPr>
                <w:rFonts w:ascii="Times New Roman" w:hAnsi="Times New Roman"/>
                <w:b/>
                <w:sz w:val="18"/>
              </w:rPr>
            </w:pPr>
          </w:p>
        </w:tc>
        <w:tc>
          <w:tcPr>
            <w:tcW w:w="1495" w:type="dxa"/>
            <w:gridSpan w:val="7"/>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praktični rad</w:t>
            </w:r>
          </w:p>
        </w:tc>
        <w:tc>
          <w:tcPr>
            <w:tcW w:w="1498" w:type="dxa"/>
            <w:gridSpan w:val="8"/>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6"/>
              </w:rPr>
              <w:t>eksperimentalni rad</w:t>
            </w:r>
          </w:p>
        </w:tc>
        <w:tc>
          <w:tcPr>
            <w:tcW w:w="1497" w:type="dxa"/>
            <w:gridSpan w:val="5"/>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izlaganje</w:t>
            </w:r>
          </w:p>
        </w:tc>
        <w:tc>
          <w:tcPr>
            <w:tcW w:w="1497" w:type="dxa"/>
            <w:gridSpan w:val="7"/>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projekt</w:t>
            </w:r>
          </w:p>
        </w:tc>
        <w:tc>
          <w:tcPr>
            <w:tcW w:w="1500" w:type="dxa"/>
            <w:gridSpan w:val="3"/>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seminar</w:t>
            </w:r>
          </w:p>
        </w:tc>
      </w:tr>
      <w:tr w:rsidR="00733884" w:rsidRPr="00B05A3F" w:rsidTr="00774297">
        <w:trPr>
          <w:trHeight w:val="190"/>
        </w:trPr>
        <w:tc>
          <w:tcPr>
            <w:tcW w:w="1801" w:type="dxa"/>
            <w:vMerge/>
            <w:shd w:val="clear" w:color="auto" w:fill="F2F2F2"/>
          </w:tcPr>
          <w:p w:rsidR="00733884" w:rsidRPr="00B05A3F" w:rsidRDefault="00733884" w:rsidP="00774297">
            <w:pPr>
              <w:spacing w:before="20" w:after="20"/>
              <w:rPr>
                <w:rFonts w:ascii="Times New Roman" w:hAnsi="Times New Roman"/>
                <w:b/>
                <w:sz w:val="18"/>
              </w:rPr>
            </w:pPr>
          </w:p>
        </w:tc>
        <w:tc>
          <w:tcPr>
            <w:tcW w:w="1495" w:type="dxa"/>
            <w:gridSpan w:val="7"/>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kolokvij(i)</w:t>
            </w:r>
          </w:p>
        </w:tc>
        <w:tc>
          <w:tcPr>
            <w:tcW w:w="1498" w:type="dxa"/>
            <w:gridSpan w:val="8"/>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pismeni ispit</w:t>
            </w:r>
          </w:p>
        </w:tc>
        <w:tc>
          <w:tcPr>
            <w:tcW w:w="1497" w:type="dxa"/>
            <w:gridSpan w:val="5"/>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usmeni ispit</w:t>
            </w:r>
          </w:p>
        </w:tc>
        <w:tc>
          <w:tcPr>
            <w:tcW w:w="2997" w:type="dxa"/>
            <w:gridSpan w:val="10"/>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ostalo: </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Uvjeti pristupanja ispitu</w:t>
            </w:r>
          </w:p>
        </w:tc>
        <w:tc>
          <w:tcPr>
            <w:tcW w:w="7487" w:type="dxa"/>
            <w:gridSpan w:val="30"/>
            <w:vAlign w:val="center"/>
          </w:tcPr>
          <w:p w:rsidR="00733884" w:rsidRPr="00B05A3F" w:rsidRDefault="00733884" w:rsidP="00774297">
            <w:pPr>
              <w:tabs>
                <w:tab w:val="left" w:pos="1218"/>
              </w:tabs>
              <w:spacing w:before="20" w:after="20"/>
              <w:rPr>
                <w:rFonts w:ascii="Times New Roman" w:hAnsi="Times New Roman"/>
                <w:i/>
                <w:sz w:val="18"/>
              </w:rPr>
            </w:pPr>
            <w:r w:rsidRPr="00B05A3F">
              <w:rPr>
                <w:rFonts w:ascii="Times New Roman" w:eastAsia="MS Gothic" w:hAnsi="Times New Roman"/>
                <w:sz w:val="18"/>
              </w:rPr>
              <w:t xml:space="preserve">Redovita nazočnost na nastavi  </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Ispitni rokovi</w:t>
            </w:r>
          </w:p>
        </w:tc>
        <w:tc>
          <w:tcPr>
            <w:tcW w:w="2903" w:type="dxa"/>
            <w:gridSpan w:val="14"/>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zimski ispitni rok </w:t>
            </w:r>
          </w:p>
        </w:tc>
        <w:tc>
          <w:tcPr>
            <w:tcW w:w="2471" w:type="dxa"/>
            <w:gridSpan w:val="10"/>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ljetni ispitni rok</w:t>
            </w:r>
          </w:p>
        </w:tc>
        <w:tc>
          <w:tcPr>
            <w:tcW w:w="2113" w:type="dxa"/>
            <w:gridSpan w:val="6"/>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jesenski ispitni rok</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Termini ispitnih rokova</w:t>
            </w:r>
          </w:p>
        </w:tc>
        <w:tc>
          <w:tcPr>
            <w:tcW w:w="2903" w:type="dxa"/>
            <w:gridSpan w:val="14"/>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xml:space="preserve">28. siječnja 2020. </w:t>
            </w:r>
          </w:p>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xml:space="preserve">7. veljače 2020. </w:t>
            </w:r>
          </w:p>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(termini podložni promjeni)</w:t>
            </w:r>
          </w:p>
        </w:tc>
        <w:tc>
          <w:tcPr>
            <w:tcW w:w="2471" w:type="dxa"/>
            <w:gridSpan w:val="10"/>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xml:space="preserve">9. lipnja 2020. </w:t>
            </w:r>
          </w:p>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xml:space="preserve">23. lipnja 2020. </w:t>
            </w:r>
          </w:p>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xml:space="preserve">(termini podložni promjeni) </w:t>
            </w:r>
          </w:p>
        </w:tc>
        <w:tc>
          <w:tcPr>
            <w:tcW w:w="2113" w:type="dxa"/>
            <w:gridSpan w:val="6"/>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xml:space="preserve">1. rujna 2020. </w:t>
            </w:r>
          </w:p>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xml:space="preserve">15. rujna 2020. </w:t>
            </w:r>
          </w:p>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(termini podložni promjeni)</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Opis kolegija</w:t>
            </w:r>
          </w:p>
        </w:tc>
        <w:tc>
          <w:tcPr>
            <w:tcW w:w="7487" w:type="dxa"/>
            <w:gridSpan w:val="30"/>
          </w:tcPr>
          <w:p w:rsidR="00733884" w:rsidRPr="00B05A3F" w:rsidRDefault="00733884" w:rsidP="00774297">
            <w:pPr>
              <w:suppressAutoHyphens/>
              <w:spacing w:after="0"/>
              <w:ind w:left="-8"/>
              <w:rPr>
                <w:rFonts w:ascii="Arial Narrow" w:hAnsi="Arial Narrow" w:cs="Arial"/>
              </w:rPr>
            </w:pPr>
            <w:r w:rsidRPr="00B05A3F">
              <w:rPr>
                <w:rFonts w:ascii="Arial Narrow" w:hAnsi="Arial Narrow" w:cs="Arial"/>
              </w:rPr>
              <w:t xml:space="preserve">Kolegij obrađuje ključne metode i probleme </w:t>
            </w:r>
            <w:r>
              <w:rPr>
                <w:rFonts w:ascii="Arial Narrow" w:hAnsi="Arial Narrow" w:cs="Arial"/>
              </w:rPr>
              <w:t>modalne logike</w:t>
            </w:r>
            <w:r w:rsidRPr="00B05A3F">
              <w:rPr>
                <w:rFonts w:ascii="Arial Narrow" w:hAnsi="Arial Narrow" w:cs="Arial"/>
              </w:rPr>
              <w:t xml:space="preserve"> </w:t>
            </w:r>
          </w:p>
          <w:p w:rsidR="00733884" w:rsidRPr="00B05A3F" w:rsidRDefault="00733884" w:rsidP="00774297">
            <w:pPr>
              <w:tabs>
                <w:tab w:val="left" w:pos="1218"/>
              </w:tabs>
              <w:spacing w:before="20" w:after="20"/>
              <w:rPr>
                <w:rFonts w:ascii="Times New Roman" w:eastAsia="MS Gothic" w:hAnsi="Times New Roman"/>
                <w:sz w:val="18"/>
              </w:rPr>
            </w:pP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Sadržaj kolegija (nastavne teme)</w:t>
            </w:r>
          </w:p>
        </w:tc>
        <w:tc>
          <w:tcPr>
            <w:tcW w:w="7487" w:type="dxa"/>
            <w:gridSpan w:val="30"/>
          </w:tcPr>
          <w:p w:rsidR="00733884" w:rsidRDefault="00733884" w:rsidP="00733884">
            <w:pPr>
              <w:spacing w:after="0" w:line="240" w:lineRule="auto"/>
              <w:rPr>
                <w:rFonts w:ascii="Arial Narrow" w:hAnsi="Arial Narrow"/>
              </w:rPr>
            </w:pPr>
            <w:r>
              <w:rPr>
                <w:rFonts w:ascii="Arial Narrow" w:hAnsi="Arial Narrow"/>
              </w:rPr>
              <w:t xml:space="preserve">Uvodni dio: inicijalna provjera znanja iz logike prvoga reda. Temeljito ponavljanje i osiguravanje uvjeta za kvalitetan početak rada na modalnoj logici. </w:t>
            </w:r>
          </w:p>
          <w:p w:rsidR="00733884" w:rsidRDefault="00733884" w:rsidP="00733884">
            <w:pPr>
              <w:spacing w:after="0" w:line="240" w:lineRule="auto"/>
              <w:rPr>
                <w:rFonts w:ascii="Arial Narrow" w:hAnsi="Arial Narrow"/>
              </w:rPr>
            </w:pPr>
            <w:r>
              <w:rPr>
                <w:rFonts w:ascii="Arial Narrow" w:hAnsi="Arial Narrow"/>
              </w:rPr>
              <w:t xml:space="preserve">Propozicijska modalna logika. Tabloi, aksiomi, vježbe. </w:t>
            </w:r>
          </w:p>
          <w:p w:rsidR="00733884" w:rsidRPr="00B05A3F" w:rsidRDefault="00733884" w:rsidP="00733884">
            <w:pPr>
              <w:tabs>
                <w:tab w:val="left" w:pos="1218"/>
              </w:tabs>
              <w:spacing w:before="20" w:after="20"/>
              <w:rPr>
                <w:rFonts w:ascii="Times New Roman" w:eastAsia="MS Gothic" w:hAnsi="Times New Roman"/>
                <w:i/>
                <w:sz w:val="18"/>
              </w:rPr>
            </w:pPr>
            <w:r>
              <w:rPr>
                <w:rFonts w:ascii="Arial Narrow" w:hAnsi="Arial Narrow"/>
              </w:rPr>
              <w:t>Kvantificirana predikatska modalna logika (formule prvoga reda). Tabloi, aksiomi, vježbe.</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Obvezna literatura</w:t>
            </w:r>
          </w:p>
        </w:tc>
        <w:tc>
          <w:tcPr>
            <w:tcW w:w="7487" w:type="dxa"/>
            <w:gridSpan w:val="30"/>
          </w:tcPr>
          <w:p w:rsidR="00733884" w:rsidRDefault="00733884" w:rsidP="00733884">
            <w:pPr>
              <w:rPr>
                <w:rFonts w:ascii="Arial Narrow" w:hAnsi="Arial Narrow"/>
                <w:lang w:val="de-DE"/>
              </w:rPr>
            </w:pPr>
            <w:r>
              <w:rPr>
                <w:rFonts w:ascii="Arial Narrow" w:hAnsi="Arial Narrow"/>
                <w:lang w:val="de-DE"/>
              </w:rPr>
              <w:t xml:space="preserve">Fitting, M,  Mendelsohn, R.L. </w:t>
            </w:r>
            <w:r w:rsidRPr="00776629">
              <w:rPr>
                <w:rFonts w:ascii="Arial Narrow" w:hAnsi="Arial Narrow"/>
                <w:i/>
                <w:lang w:val="de-DE"/>
              </w:rPr>
              <w:t>First-Order Modal Logic</w:t>
            </w:r>
            <w:r>
              <w:rPr>
                <w:rFonts w:ascii="Arial Narrow" w:hAnsi="Arial Narrow"/>
                <w:lang w:val="de-DE"/>
              </w:rPr>
              <w:t xml:space="preserve"> Dordrecht: Kluwer Academic Publishers. 1999. </w:t>
            </w:r>
          </w:p>
          <w:p w:rsidR="00733884" w:rsidRDefault="00733884" w:rsidP="00733884">
            <w:pPr>
              <w:rPr>
                <w:rFonts w:ascii="Arial Narrow" w:hAnsi="Arial Narrow"/>
                <w:lang w:val="de-DE"/>
              </w:rPr>
            </w:pPr>
            <w:r>
              <w:rPr>
                <w:rFonts w:ascii="Arial Narrow" w:hAnsi="Arial Narrow"/>
                <w:lang w:val="de-DE"/>
              </w:rPr>
              <w:t xml:space="preserve">Hughes, G.E., Creswell, M.J. </w:t>
            </w:r>
            <w:r w:rsidRPr="00776629">
              <w:rPr>
                <w:rFonts w:ascii="Arial Narrow" w:hAnsi="Arial Narrow"/>
                <w:i/>
                <w:lang w:val="de-DE"/>
              </w:rPr>
              <w:t>A New Introduction to Modal Logic</w:t>
            </w:r>
            <w:r>
              <w:rPr>
                <w:rFonts w:ascii="Arial Narrow" w:hAnsi="Arial Narrow"/>
                <w:lang w:val="de-DE"/>
              </w:rPr>
              <w:t xml:space="preserve">. London: Routledge. 1996.     </w:t>
            </w:r>
          </w:p>
          <w:p w:rsidR="00733884" w:rsidRPr="00B05A3F" w:rsidRDefault="00733884" w:rsidP="00733884">
            <w:pPr>
              <w:tabs>
                <w:tab w:val="left" w:pos="1218"/>
              </w:tabs>
              <w:spacing w:before="20" w:after="20"/>
              <w:rPr>
                <w:rFonts w:ascii="Times New Roman" w:eastAsia="MS Gothic" w:hAnsi="Times New Roman"/>
                <w:sz w:val="18"/>
              </w:rPr>
            </w:pPr>
            <w:r>
              <w:rPr>
                <w:rFonts w:ascii="Arial Narrow" w:hAnsi="Arial Narrow"/>
                <w:lang w:val="de-DE"/>
              </w:rPr>
              <w:t xml:space="preserve">Hughes, G.E., Creswell, M.J. </w:t>
            </w:r>
            <w:r w:rsidRPr="00776629">
              <w:rPr>
                <w:rFonts w:ascii="Arial Narrow" w:hAnsi="Arial Narrow"/>
                <w:i/>
                <w:lang w:val="de-DE"/>
              </w:rPr>
              <w:t>A Companion to Modal Logic</w:t>
            </w:r>
            <w:r>
              <w:rPr>
                <w:rFonts w:ascii="Arial Narrow" w:hAnsi="Arial Narrow"/>
                <w:lang w:val="de-DE"/>
              </w:rPr>
              <w:t xml:space="preserve">. London: Methuen. 1984.     . </w:t>
            </w:r>
            <w:r w:rsidRPr="00C4795F">
              <w:rPr>
                <w:rFonts w:ascii="Arial Narrow" w:hAnsi="Arial Narrow"/>
              </w:rPr>
              <w:t xml:space="preserve"> </w:t>
            </w:r>
            <w:r>
              <w:rPr>
                <w:rFonts w:ascii="Arial Narrow" w:hAnsi="Arial Narrow"/>
                <w:lang w:val="de-DE"/>
              </w:rPr>
              <w:t xml:space="preserve"> </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 xml:space="preserve">Dodatna literatura </w:t>
            </w:r>
          </w:p>
        </w:tc>
        <w:tc>
          <w:tcPr>
            <w:tcW w:w="7487" w:type="dxa"/>
            <w:gridSpan w:val="30"/>
          </w:tcPr>
          <w:p w:rsidR="00733884" w:rsidRDefault="00733884" w:rsidP="00733884">
            <w:pPr>
              <w:rPr>
                <w:rFonts w:ascii="Arial Narrow" w:hAnsi="Arial Narrow"/>
              </w:rPr>
            </w:pPr>
            <w:r>
              <w:rPr>
                <w:rFonts w:ascii="Arial Narrow" w:hAnsi="Arial Narrow"/>
              </w:rPr>
              <w:t xml:space="preserve">Hintikka, J. </w:t>
            </w:r>
            <w:r w:rsidRPr="00776629">
              <w:rPr>
                <w:rFonts w:ascii="Arial Narrow" w:hAnsi="Arial Narrow"/>
                <w:i/>
              </w:rPr>
              <w:t>Knowledge and Belief</w:t>
            </w:r>
            <w:r>
              <w:rPr>
                <w:rFonts w:ascii="Arial Narrow" w:hAnsi="Arial Narrow"/>
              </w:rPr>
              <w:t xml:space="preserve">. Ithaca: Cornell University Press. 1962. </w:t>
            </w:r>
          </w:p>
          <w:p w:rsidR="00733884" w:rsidRDefault="00733884" w:rsidP="00733884">
            <w:pPr>
              <w:rPr>
                <w:rFonts w:ascii="Arial Narrow" w:hAnsi="Arial Narrow"/>
              </w:rPr>
            </w:pPr>
            <w:r>
              <w:rPr>
                <w:rFonts w:ascii="Arial Narrow" w:hAnsi="Arial Narrow"/>
              </w:rPr>
              <w:t xml:space="preserve">Hintikka, J. Modality and Quantification. </w:t>
            </w:r>
            <w:r w:rsidRPr="00776629">
              <w:rPr>
                <w:rFonts w:ascii="Arial Narrow" w:hAnsi="Arial Narrow"/>
                <w:i/>
              </w:rPr>
              <w:t>Theoria</w:t>
            </w:r>
            <w:r>
              <w:rPr>
                <w:rFonts w:ascii="Arial Narrow" w:hAnsi="Arial Narrow"/>
              </w:rPr>
              <w:t xml:space="preserve"> 27, 119 – 128. 1961. </w:t>
            </w:r>
          </w:p>
          <w:p w:rsidR="00733884" w:rsidRDefault="00733884" w:rsidP="00733884">
            <w:pPr>
              <w:rPr>
                <w:rFonts w:ascii="Arial Narrow" w:hAnsi="Arial Narrow"/>
              </w:rPr>
            </w:pPr>
            <w:r>
              <w:rPr>
                <w:rFonts w:ascii="Arial Narrow" w:hAnsi="Arial Narrow"/>
              </w:rPr>
              <w:t xml:space="preserve">Kripke, S. </w:t>
            </w:r>
            <w:r w:rsidRPr="00776629">
              <w:rPr>
                <w:rFonts w:ascii="Arial Narrow" w:hAnsi="Arial Narrow"/>
                <w:i/>
              </w:rPr>
              <w:t>Imenovanje i nužnost.</w:t>
            </w:r>
            <w:r>
              <w:rPr>
                <w:rFonts w:ascii="Arial Narrow" w:hAnsi="Arial Narrow"/>
              </w:rPr>
              <w:t xml:space="preserve"> Hrvatski Leskovac: KruZak. 1997.   </w:t>
            </w:r>
          </w:p>
          <w:p w:rsidR="00733884" w:rsidRDefault="00733884" w:rsidP="00733884">
            <w:pPr>
              <w:rPr>
                <w:rFonts w:ascii="Arial Narrow" w:hAnsi="Arial Narrow"/>
              </w:rPr>
            </w:pPr>
            <w:r w:rsidRPr="003C1D54">
              <w:rPr>
                <w:rFonts w:ascii="Arial Narrow" w:hAnsi="Arial Narrow"/>
              </w:rPr>
              <w:t xml:space="preserve">P. Blackburn, M. de Rijke, Y. Venema, </w:t>
            </w:r>
            <w:r w:rsidRPr="00776629">
              <w:rPr>
                <w:rFonts w:ascii="Arial Narrow" w:hAnsi="Arial Narrow"/>
                <w:i/>
              </w:rPr>
              <w:t>Modal Logic</w:t>
            </w:r>
            <w:r w:rsidRPr="003C1D54">
              <w:rPr>
                <w:rFonts w:ascii="Arial Narrow" w:hAnsi="Arial Narrow"/>
              </w:rPr>
              <w:t>, Cambridge University Press, 2001.</w:t>
            </w:r>
          </w:p>
          <w:p w:rsidR="00733884" w:rsidRPr="00B05A3F" w:rsidRDefault="00733884" w:rsidP="00733884">
            <w:pPr>
              <w:rPr>
                <w:rFonts w:ascii="Arial Narrow" w:hAnsi="Arial Narrow"/>
              </w:rPr>
            </w:pPr>
            <w:r w:rsidRPr="003C1D54">
              <w:rPr>
                <w:rFonts w:ascii="Arial Narrow" w:hAnsi="Arial Narrow"/>
              </w:rPr>
              <w:t xml:space="preserve">P. Blackburn, J. van Benthem, F. Wolter (ur.), </w:t>
            </w:r>
            <w:r w:rsidRPr="00776629">
              <w:rPr>
                <w:rFonts w:ascii="Arial Narrow" w:hAnsi="Arial Narrow"/>
                <w:i/>
              </w:rPr>
              <w:t>Handbook of Modal Logic</w:t>
            </w:r>
            <w:r w:rsidRPr="003C1D54">
              <w:rPr>
                <w:rFonts w:ascii="Arial Narrow" w:hAnsi="Arial Narrow"/>
              </w:rPr>
              <w:t>, Elsevier, 2006.</w:t>
            </w:r>
            <w:r>
              <w:rPr>
                <w:rFonts w:ascii="Arial Narrow" w:hAnsi="Arial Narrow"/>
                <w:lang w:val="de-DE"/>
              </w:rPr>
              <w:t xml:space="preserve"> </w:t>
            </w:r>
            <w:r w:rsidRPr="00B05A3F">
              <w:rPr>
                <w:rFonts w:ascii="Arial Narrow" w:hAnsi="Arial Narrow"/>
              </w:rPr>
              <w:t xml:space="preserve"> </w:t>
            </w:r>
          </w:p>
          <w:p w:rsidR="00733884" w:rsidRPr="00B05A3F" w:rsidRDefault="00733884" w:rsidP="00774297">
            <w:pPr>
              <w:tabs>
                <w:tab w:val="left" w:pos="1218"/>
              </w:tabs>
              <w:spacing w:before="20" w:after="20"/>
              <w:rPr>
                <w:rFonts w:ascii="Times New Roman" w:eastAsia="MS Gothic" w:hAnsi="Times New Roman"/>
                <w:sz w:val="18"/>
              </w:rPr>
            </w:pP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 xml:space="preserve">Mrežni izvori </w:t>
            </w:r>
          </w:p>
        </w:tc>
        <w:tc>
          <w:tcPr>
            <w:tcW w:w="7487" w:type="dxa"/>
            <w:gridSpan w:val="30"/>
          </w:tcPr>
          <w:p w:rsidR="00733884" w:rsidRPr="00B05A3F" w:rsidRDefault="00733884" w:rsidP="00774297">
            <w:pPr>
              <w:tabs>
                <w:tab w:val="left" w:pos="1218"/>
              </w:tabs>
              <w:spacing w:before="20" w:after="20"/>
              <w:rPr>
                <w:rFonts w:ascii="Times New Roman" w:eastAsia="MS Gothic" w:hAnsi="Times New Roman"/>
                <w:sz w:val="18"/>
              </w:rPr>
            </w:pPr>
            <w:r w:rsidRPr="00B05A3F">
              <w:rPr>
                <w:rFonts w:ascii="Arial Narrow" w:hAnsi="Arial Narrow" w:cs="Arial"/>
              </w:rPr>
              <w:t xml:space="preserve">E-kolegij </w:t>
            </w:r>
            <w:r w:rsidRPr="00B05A3F">
              <w:rPr>
                <w:rFonts w:ascii="Arial Narrow" w:hAnsi="Arial Narrow" w:cs="Arial"/>
                <w:i/>
              </w:rPr>
              <w:t>Logika</w:t>
            </w:r>
            <w:r w:rsidRPr="00B05A3F">
              <w:rPr>
                <w:rFonts w:ascii="Arial Narrow" w:hAnsi="Arial Narrow" w:cs="Arial"/>
              </w:rPr>
              <w:t xml:space="preserve"> (S. Matić) na  </w:t>
            </w:r>
            <w:hyperlink r:id="rId7" w:history="1">
              <w:r w:rsidRPr="00B05A3F">
                <w:rPr>
                  <w:rStyle w:val="Hyperlink"/>
                  <w:rFonts w:ascii="Arial Narrow" w:hAnsi="Arial Narrow" w:cs="Arial"/>
                </w:rPr>
                <w:t>https://loomen.carnet.hr</w:t>
              </w:r>
            </w:hyperlink>
          </w:p>
        </w:tc>
      </w:tr>
      <w:tr w:rsidR="00733884" w:rsidRPr="00B05A3F" w:rsidTr="00774297">
        <w:tc>
          <w:tcPr>
            <w:tcW w:w="1801" w:type="dxa"/>
            <w:vMerge w:val="restart"/>
            <w:shd w:val="clear" w:color="auto" w:fill="F2F2F2"/>
            <w:vAlign w:val="center"/>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Provjera ishoda učenja (prema uputama AZVO)</w:t>
            </w:r>
          </w:p>
        </w:tc>
        <w:tc>
          <w:tcPr>
            <w:tcW w:w="5754" w:type="dxa"/>
            <w:gridSpan w:val="25"/>
          </w:tcPr>
          <w:p w:rsidR="00733884" w:rsidRPr="00B05A3F" w:rsidRDefault="00733884" w:rsidP="00774297">
            <w:pPr>
              <w:tabs>
                <w:tab w:val="left" w:pos="1218"/>
              </w:tabs>
              <w:spacing w:before="20" w:after="20"/>
              <w:jc w:val="center"/>
              <w:rPr>
                <w:rFonts w:ascii="Times New Roman" w:eastAsia="MS Gothic" w:hAnsi="Times New Roman"/>
                <w:sz w:val="18"/>
              </w:rPr>
            </w:pPr>
            <w:r w:rsidRPr="00B05A3F">
              <w:rPr>
                <w:rFonts w:ascii="Times New Roman" w:hAnsi="Times New Roman"/>
                <w:sz w:val="18"/>
                <w:szCs w:val="18"/>
              </w:rPr>
              <w:t>Samo završni ispit</w:t>
            </w:r>
          </w:p>
        </w:tc>
        <w:tc>
          <w:tcPr>
            <w:tcW w:w="1733" w:type="dxa"/>
            <w:gridSpan w:val="5"/>
          </w:tcPr>
          <w:p w:rsidR="00733884" w:rsidRPr="00B05A3F" w:rsidRDefault="00733884" w:rsidP="00774297">
            <w:pPr>
              <w:tabs>
                <w:tab w:val="left" w:pos="1218"/>
              </w:tabs>
              <w:spacing w:before="20" w:after="20"/>
              <w:jc w:val="center"/>
              <w:rPr>
                <w:rFonts w:ascii="Times New Roman" w:eastAsia="MS Gothic" w:hAnsi="Times New Roman"/>
                <w:sz w:val="18"/>
              </w:rPr>
            </w:pPr>
          </w:p>
        </w:tc>
      </w:tr>
      <w:tr w:rsidR="00733884" w:rsidRPr="00B05A3F" w:rsidTr="00774297">
        <w:tc>
          <w:tcPr>
            <w:tcW w:w="1801" w:type="dxa"/>
            <w:vMerge/>
            <w:shd w:val="clear" w:color="auto" w:fill="F2F2F2"/>
          </w:tcPr>
          <w:p w:rsidR="00733884" w:rsidRPr="00B05A3F" w:rsidRDefault="00733884" w:rsidP="00774297">
            <w:pPr>
              <w:spacing w:before="20" w:after="20"/>
              <w:rPr>
                <w:rFonts w:ascii="Times New Roman" w:hAnsi="Times New Roman"/>
                <w:b/>
                <w:sz w:val="18"/>
              </w:rPr>
            </w:pPr>
          </w:p>
        </w:tc>
        <w:tc>
          <w:tcPr>
            <w:tcW w:w="2080" w:type="dxa"/>
            <w:gridSpan w:val="11"/>
            <w:vAlign w:val="center"/>
          </w:tcPr>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završni</w:t>
            </w:r>
          </w:p>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Times New Roman" w:hAnsi="Times New Roman"/>
                <w:sz w:val="18"/>
                <w:szCs w:val="18"/>
              </w:rPr>
              <w:t>pismeni ispit</w:t>
            </w:r>
          </w:p>
        </w:tc>
        <w:tc>
          <w:tcPr>
            <w:tcW w:w="1862" w:type="dxa"/>
            <w:gridSpan w:val="7"/>
            <w:vAlign w:val="center"/>
          </w:tcPr>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završni</w:t>
            </w:r>
          </w:p>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Times New Roman" w:hAnsi="Times New Roman"/>
                <w:sz w:val="18"/>
                <w:szCs w:val="18"/>
              </w:rPr>
              <w:t>usmeni ispit</w:t>
            </w:r>
          </w:p>
        </w:tc>
        <w:tc>
          <w:tcPr>
            <w:tcW w:w="1812" w:type="dxa"/>
            <w:gridSpan w:val="7"/>
            <w:vAlign w:val="center"/>
          </w:tcPr>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pismeni i usmeni završni ispit</w:t>
            </w:r>
          </w:p>
        </w:tc>
        <w:tc>
          <w:tcPr>
            <w:tcW w:w="1733" w:type="dxa"/>
            <w:gridSpan w:val="5"/>
            <w:vAlign w:val="center"/>
          </w:tcPr>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praktični rad i završni ispit</w:t>
            </w:r>
          </w:p>
        </w:tc>
      </w:tr>
      <w:tr w:rsidR="00733884" w:rsidRPr="00B05A3F" w:rsidTr="00774297">
        <w:tc>
          <w:tcPr>
            <w:tcW w:w="1801" w:type="dxa"/>
            <w:vMerge/>
            <w:shd w:val="clear" w:color="auto" w:fill="F2F2F2"/>
          </w:tcPr>
          <w:p w:rsidR="00733884" w:rsidRPr="00B05A3F" w:rsidRDefault="00733884" w:rsidP="00774297">
            <w:pPr>
              <w:spacing w:before="20" w:after="20"/>
              <w:rPr>
                <w:rFonts w:ascii="Times New Roman" w:hAnsi="Times New Roman"/>
                <w:b/>
                <w:sz w:val="18"/>
              </w:rPr>
            </w:pPr>
          </w:p>
        </w:tc>
        <w:tc>
          <w:tcPr>
            <w:tcW w:w="1383" w:type="dxa"/>
            <w:gridSpan w:val="6"/>
            <w:vAlign w:val="center"/>
          </w:tcPr>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samo kolokvij/zadaće</w:t>
            </w:r>
          </w:p>
        </w:tc>
        <w:tc>
          <w:tcPr>
            <w:tcW w:w="1405" w:type="dxa"/>
            <w:gridSpan w:val="7"/>
            <w:vAlign w:val="center"/>
          </w:tcPr>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MS Gothic" w:eastAsia="MS Gothic" w:hAnsi="MS Gothic"/>
                <w:sz w:val="18"/>
              </w:rPr>
              <w:t xml:space="preserve"> </w:t>
            </w:r>
            <w:r w:rsidRPr="00B05A3F">
              <w:rPr>
                <w:rFonts w:ascii="Times New Roman" w:hAnsi="Times New Roman"/>
                <w:sz w:val="18"/>
                <w:szCs w:val="18"/>
              </w:rPr>
              <w:t>kolokvij / zadaća i završni ispit</w:t>
            </w:r>
          </w:p>
        </w:tc>
        <w:tc>
          <w:tcPr>
            <w:tcW w:w="1154" w:type="dxa"/>
            <w:gridSpan w:val="5"/>
            <w:vAlign w:val="center"/>
          </w:tcPr>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seminarski</w:t>
            </w:r>
          </w:p>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Times New Roman" w:hAnsi="Times New Roman"/>
                <w:sz w:val="18"/>
                <w:szCs w:val="18"/>
              </w:rPr>
              <w:t>rad</w:t>
            </w:r>
          </w:p>
        </w:tc>
        <w:tc>
          <w:tcPr>
            <w:tcW w:w="1233" w:type="dxa"/>
            <w:gridSpan w:val="4"/>
            <w:vAlign w:val="center"/>
          </w:tcPr>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seminarski</w:t>
            </w:r>
          </w:p>
          <w:p w:rsidR="00733884" w:rsidRPr="00B05A3F" w:rsidRDefault="00733884" w:rsidP="00774297">
            <w:pPr>
              <w:widowControl w:val="0"/>
              <w:autoSpaceDE w:val="0"/>
              <w:autoSpaceDN w:val="0"/>
              <w:adjustRightInd w:val="0"/>
              <w:spacing w:before="20" w:after="20"/>
              <w:jc w:val="center"/>
              <w:rPr>
                <w:rFonts w:ascii="Times New Roman" w:hAnsi="Times New Roman"/>
                <w:sz w:val="18"/>
                <w:szCs w:val="18"/>
              </w:rPr>
            </w:pPr>
            <w:r w:rsidRPr="00B05A3F">
              <w:rPr>
                <w:rFonts w:ascii="Times New Roman" w:hAnsi="Times New Roman"/>
                <w:sz w:val="18"/>
                <w:szCs w:val="18"/>
              </w:rPr>
              <w:t>rad i završni ispit</w:t>
            </w:r>
          </w:p>
        </w:tc>
        <w:tc>
          <w:tcPr>
            <w:tcW w:w="1128" w:type="dxa"/>
            <w:gridSpan w:val="7"/>
            <w:vAlign w:val="center"/>
          </w:tcPr>
          <w:p w:rsidR="00733884" w:rsidRPr="00B05A3F" w:rsidRDefault="00733884" w:rsidP="00774297">
            <w:pPr>
              <w:widowControl w:val="0"/>
              <w:tabs>
                <w:tab w:val="center" w:pos="759"/>
              </w:tabs>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praktični rad</w:t>
            </w:r>
          </w:p>
        </w:tc>
        <w:tc>
          <w:tcPr>
            <w:tcW w:w="1184" w:type="dxa"/>
            <w:vAlign w:val="center"/>
          </w:tcPr>
          <w:p w:rsidR="00733884" w:rsidRPr="00B05A3F" w:rsidRDefault="00733884" w:rsidP="00774297">
            <w:pPr>
              <w:widowControl w:val="0"/>
              <w:tabs>
                <w:tab w:val="center" w:pos="759"/>
              </w:tabs>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drugi oblici</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Način formiranja završne ocjene (%)</w:t>
            </w:r>
          </w:p>
        </w:tc>
        <w:tc>
          <w:tcPr>
            <w:tcW w:w="7487" w:type="dxa"/>
            <w:gridSpan w:val="30"/>
            <w:vAlign w:val="center"/>
          </w:tcPr>
          <w:p w:rsidR="00733884" w:rsidRPr="00B05A3F" w:rsidRDefault="00733884" w:rsidP="00774297">
            <w:pPr>
              <w:spacing w:after="0"/>
              <w:rPr>
                <w:rFonts w:ascii="Arial Narrow" w:hAnsi="Arial Narrow" w:cs="Arial"/>
              </w:rPr>
            </w:pPr>
            <w:r w:rsidRPr="00B05A3F">
              <w:rPr>
                <w:rFonts w:ascii="Arial Narrow" w:hAnsi="Arial Narrow" w:cs="Arial"/>
              </w:rPr>
              <w:t xml:space="preserve">Konačna se ocjena može odrediti na osnovi uspjeha na dvama kolokvijima (25/50 bodova – dovoljan (2), 31/50 - dobar (3), 38/50 - vrlo dobar (4), 45/50 - izvrstan  (5)), tako da se odredi srednja ocjena (aritmetička sredina). Ako je neka od ocjena iz kolokvija nedovoljna (1), ocjena se aritmetičkom sredinom može odrediti samo ako je iz tako ocijenjenog kolokvija dobiveno barem 30% bodova. Konačna ocjena samo ocjenama iz kolokvija može se odrediti samo ako se dobiju ocjene iz oba kolokvija. </w:t>
            </w:r>
          </w:p>
          <w:p w:rsidR="00733884" w:rsidRPr="00B05A3F" w:rsidRDefault="00733884" w:rsidP="00774297">
            <w:pPr>
              <w:spacing w:after="0"/>
              <w:rPr>
                <w:rFonts w:ascii="Arial Narrow" w:hAnsi="Arial Narrow" w:cs="Arial"/>
              </w:rPr>
            </w:pPr>
          </w:p>
          <w:p w:rsidR="00733884" w:rsidRPr="00B05A3F" w:rsidRDefault="00733884" w:rsidP="00774297">
            <w:pPr>
              <w:spacing w:after="0"/>
              <w:rPr>
                <w:rFonts w:ascii="Arial Narrow" w:hAnsi="Arial Narrow" w:cs="Arial"/>
              </w:rPr>
            </w:pPr>
            <w:r w:rsidRPr="00B05A3F">
              <w:rPr>
                <w:rFonts w:ascii="Arial Narrow" w:hAnsi="Arial Narrow" w:cs="Arial"/>
              </w:rPr>
              <w:t xml:space="preserve">Konačna ocjena temeljem ispita određuje se prema ključu: </w:t>
            </w:r>
          </w:p>
          <w:p w:rsidR="00733884" w:rsidRPr="00B05A3F" w:rsidRDefault="00733884" w:rsidP="00774297">
            <w:pPr>
              <w:spacing w:after="0"/>
              <w:rPr>
                <w:rFonts w:ascii="Arial Narrow" w:hAnsi="Arial Narrow" w:cs="Arial"/>
              </w:rPr>
            </w:pPr>
            <w:r w:rsidRPr="00B05A3F">
              <w:rPr>
                <w:rFonts w:ascii="Arial Narrow" w:hAnsi="Arial Narrow" w:cs="Arial"/>
              </w:rPr>
              <w:t xml:space="preserve">35/70 bodova: dovoljan (2) </w:t>
            </w:r>
          </w:p>
          <w:p w:rsidR="00733884" w:rsidRPr="00B05A3F" w:rsidRDefault="00733884" w:rsidP="00774297">
            <w:pPr>
              <w:spacing w:after="0"/>
              <w:rPr>
                <w:rFonts w:ascii="Arial Narrow" w:hAnsi="Arial Narrow" w:cs="Arial"/>
              </w:rPr>
            </w:pPr>
            <w:r w:rsidRPr="00B05A3F">
              <w:rPr>
                <w:rFonts w:ascii="Arial Narrow" w:hAnsi="Arial Narrow" w:cs="Arial"/>
              </w:rPr>
              <w:t xml:space="preserve">44/70 bodova: dobar (3) </w:t>
            </w:r>
          </w:p>
          <w:p w:rsidR="00733884" w:rsidRPr="00B05A3F" w:rsidRDefault="00733884" w:rsidP="00774297">
            <w:pPr>
              <w:spacing w:after="0"/>
              <w:rPr>
                <w:rFonts w:ascii="Arial Narrow" w:hAnsi="Arial Narrow" w:cs="Arial"/>
              </w:rPr>
            </w:pPr>
            <w:r w:rsidRPr="00B05A3F">
              <w:rPr>
                <w:rFonts w:ascii="Arial Narrow" w:hAnsi="Arial Narrow" w:cs="Arial"/>
              </w:rPr>
              <w:t xml:space="preserve">53/70 bodova: vrlo dobar (4) </w:t>
            </w:r>
          </w:p>
          <w:p w:rsidR="00733884" w:rsidRPr="00B05A3F" w:rsidRDefault="00733884" w:rsidP="00774297">
            <w:pPr>
              <w:spacing w:after="0"/>
              <w:rPr>
                <w:rFonts w:ascii="Arial Narrow" w:hAnsi="Arial Narrow" w:cs="Arial"/>
              </w:rPr>
            </w:pPr>
            <w:r w:rsidRPr="00B05A3F">
              <w:rPr>
                <w:rFonts w:ascii="Arial Narrow" w:hAnsi="Arial Narrow" w:cs="Arial"/>
              </w:rPr>
              <w:t xml:space="preserve">62/70 bodova: izvrstan (5)    </w:t>
            </w:r>
          </w:p>
          <w:p w:rsidR="00733884" w:rsidRPr="00B05A3F" w:rsidRDefault="00733884" w:rsidP="00774297">
            <w:pPr>
              <w:tabs>
                <w:tab w:val="left" w:pos="1218"/>
              </w:tabs>
              <w:spacing w:before="20" w:after="20"/>
              <w:rPr>
                <w:rFonts w:ascii="Times New Roman" w:eastAsia="MS Gothic" w:hAnsi="Times New Roman"/>
                <w:sz w:val="18"/>
              </w:rPr>
            </w:pPr>
          </w:p>
        </w:tc>
      </w:tr>
      <w:tr w:rsidR="00733884" w:rsidRPr="00B05A3F" w:rsidTr="00774297">
        <w:tc>
          <w:tcPr>
            <w:tcW w:w="1801" w:type="dxa"/>
            <w:vMerge w:val="restart"/>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 xml:space="preserve">Ocjenjivanje </w:t>
            </w:r>
          </w:p>
          <w:p w:rsidR="00733884" w:rsidRPr="00B05A3F" w:rsidRDefault="00733884" w:rsidP="00774297">
            <w:pPr>
              <w:spacing w:before="20" w:after="20"/>
              <w:rPr>
                <w:rFonts w:ascii="Times New Roman" w:hAnsi="Times New Roman"/>
                <w:b/>
                <w:sz w:val="18"/>
              </w:rPr>
            </w:pPr>
            <w:r w:rsidRPr="00B05A3F">
              <w:rPr>
                <w:rFonts w:ascii="Times New Roman" w:hAnsi="Times New Roman"/>
                <w:sz w:val="18"/>
              </w:rPr>
              <w:t>/upisati postotak ili broj bodova za elemente koji se ocjenjuju/</w:t>
            </w:r>
          </w:p>
        </w:tc>
        <w:tc>
          <w:tcPr>
            <w:tcW w:w="1097" w:type="dxa"/>
            <w:gridSpan w:val="4"/>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Times New Roman" w:hAnsi="Times New Roman"/>
                <w:sz w:val="18"/>
              </w:rPr>
              <w:t>Ispod 50%</w:t>
            </w:r>
          </w:p>
        </w:tc>
        <w:tc>
          <w:tcPr>
            <w:tcW w:w="6390" w:type="dxa"/>
            <w:gridSpan w:val="26"/>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nedovoljan (1)</w:t>
            </w:r>
          </w:p>
        </w:tc>
      </w:tr>
      <w:tr w:rsidR="00733884" w:rsidRPr="00B05A3F" w:rsidTr="00774297">
        <w:tc>
          <w:tcPr>
            <w:tcW w:w="1801" w:type="dxa"/>
            <w:vMerge/>
            <w:shd w:val="clear" w:color="auto" w:fill="F2F2F2"/>
          </w:tcPr>
          <w:p w:rsidR="00733884" w:rsidRPr="00B05A3F" w:rsidRDefault="00733884" w:rsidP="00774297">
            <w:pPr>
              <w:spacing w:before="20" w:after="20"/>
              <w:rPr>
                <w:rFonts w:ascii="Times New Roman" w:hAnsi="Times New Roman"/>
                <w:b/>
                <w:sz w:val="18"/>
              </w:rPr>
            </w:pPr>
          </w:p>
        </w:tc>
        <w:tc>
          <w:tcPr>
            <w:tcW w:w="1097" w:type="dxa"/>
            <w:gridSpan w:val="4"/>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Times New Roman" w:hAnsi="Times New Roman"/>
                <w:sz w:val="18"/>
              </w:rPr>
              <w:t>50%-62%</w:t>
            </w:r>
          </w:p>
        </w:tc>
        <w:tc>
          <w:tcPr>
            <w:tcW w:w="6390" w:type="dxa"/>
            <w:gridSpan w:val="26"/>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dovoljan (2)</w:t>
            </w:r>
          </w:p>
        </w:tc>
      </w:tr>
      <w:tr w:rsidR="00733884" w:rsidRPr="00B05A3F" w:rsidTr="00774297">
        <w:tc>
          <w:tcPr>
            <w:tcW w:w="1801" w:type="dxa"/>
            <w:vMerge/>
            <w:shd w:val="clear" w:color="auto" w:fill="F2F2F2"/>
          </w:tcPr>
          <w:p w:rsidR="00733884" w:rsidRPr="00B05A3F" w:rsidRDefault="00733884" w:rsidP="00774297">
            <w:pPr>
              <w:spacing w:before="20" w:after="20"/>
              <w:rPr>
                <w:rFonts w:ascii="Times New Roman" w:hAnsi="Times New Roman"/>
                <w:b/>
                <w:sz w:val="18"/>
              </w:rPr>
            </w:pPr>
          </w:p>
        </w:tc>
        <w:tc>
          <w:tcPr>
            <w:tcW w:w="1097" w:type="dxa"/>
            <w:gridSpan w:val="4"/>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Times New Roman" w:hAnsi="Times New Roman"/>
                <w:sz w:val="18"/>
              </w:rPr>
              <w:t>63%-75%</w:t>
            </w:r>
          </w:p>
        </w:tc>
        <w:tc>
          <w:tcPr>
            <w:tcW w:w="6390" w:type="dxa"/>
            <w:gridSpan w:val="26"/>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dobar (3)</w:t>
            </w:r>
          </w:p>
        </w:tc>
      </w:tr>
      <w:tr w:rsidR="00733884" w:rsidRPr="00B05A3F" w:rsidTr="00774297">
        <w:tc>
          <w:tcPr>
            <w:tcW w:w="1801" w:type="dxa"/>
            <w:vMerge/>
            <w:shd w:val="clear" w:color="auto" w:fill="F2F2F2"/>
          </w:tcPr>
          <w:p w:rsidR="00733884" w:rsidRPr="00B05A3F" w:rsidRDefault="00733884" w:rsidP="00774297">
            <w:pPr>
              <w:spacing w:before="20" w:after="20"/>
              <w:rPr>
                <w:rFonts w:ascii="Times New Roman" w:hAnsi="Times New Roman"/>
                <w:b/>
                <w:sz w:val="18"/>
              </w:rPr>
            </w:pPr>
          </w:p>
        </w:tc>
        <w:tc>
          <w:tcPr>
            <w:tcW w:w="1097" w:type="dxa"/>
            <w:gridSpan w:val="4"/>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Times New Roman" w:hAnsi="Times New Roman"/>
                <w:sz w:val="18"/>
              </w:rPr>
              <w:t>76%-88%</w:t>
            </w:r>
          </w:p>
        </w:tc>
        <w:tc>
          <w:tcPr>
            <w:tcW w:w="6390" w:type="dxa"/>
            <w:gridSpan w:val="26"/>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vrlo dobar (4)</w:t>
            </w:r>
          </w:p>
        </w:tc>
      </w:tr>
      <w:tr w:rsidR="00733884" w:rsidRPr="00B05A3F" w:rsidTr="00774297">
        <w:tc>
          <w:tcPr>
            <w:tcW w:w="1801" w:type="dxa"/>
            <w:vMerge/>
            <w:shd w:val="clear" w:color="auto" w:fill="F2F2F2"/>
          </w:tcPr>
          <w:p w:rsidR="00733884" w:rsidRPr="00B05A3F" w:rsidRDefault="00733884" w:rsidP="00774297">
            <w:pPr>
              <w:spacing w:before="20" w:after="20"/>
              <w:rPr>
                <w:rFonts w:ascii="Times New Roman" w:hAnsi="Times New Roman"/>
                <w:b/>
                <w:sz w:val="18"/>
              </w:rPr>
            </w:pPr>
          </w:p>
        </w:tc>
        <w:tc>
          <w:tcPr>
            <w:tcW w:w="1097" w:type="dxa"/>
            <w:gridSpan w:val="4"/>
            <w:vAlign w:val="center"/>
          </w:tcPr>
          <w:p w:rsidR="00733884" w:rsidRPr="00B05A3F" w:rsidRDefault="00733884" w:rsidP="00774297">
            <w:pPr>
              <w:tabs>
                <w:tab w:val="left" w:pos="1218"/>
              </w:tabs>
              <w:spacing w:before="20" w:after="20"/>
              <w:jc w:val="center"/>
              <w:rPr>
                <w:rFonts w:ascii="Times New Roman" w:hAnsi="Times New Roman"/>
                <w:sz w:val="18"/>
              </w:rPr>
            </w:pPr>
            <w:r w:rsidRPr="00B05A3F">
              <w:rPr>
                <w:rFonts w:ascii="Times New Roman" w:hAnsi="Times New Roman"/>
                <w:sz w:val="18"/>
              </w:rPr>
              <w:t xml:space="preserve">Najmanje 89% </w:t>
            </w:r>
          </w:p>
        </w:tc>
        <w:tc>
          <w:tcPr>
            <w:tcW w:w="6390" w:type="dxa"/>
            <w:gridSpan w:val="26"/>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Times New Roman" w:hAnsi="Times New Roman"/>
                <w:sz w:val="18"/>
              </w:rPr>
              <w:t>% izvrstan (5)</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Način praćenja kvalitete</w:t>
            </w:r>
          </w:p>
        </w:tc>
        <w:tc>
          <w:tcPr>
            <w:tcW w:w="7487" w:type="dxa"/>
            <w:gridSpan w:val="30"/>
            <w:vAlign w:val="center"/>
          </w:tcPr>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studentska evaluacija nastave na razini Sveučilišta</w:t>
            </w:r>
          </w:p>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studentska evaluacija nastave na razini sastavnice</w:t>
            </w:r>
          </w:p>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interna evaluacija nastave </w:t>
            </w:r>
          </w:p>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tematske sjednice stručnih vijeća sastavnica o kvaliteti nastave i rezultatima studentske ankete</w:t>
            </w:r>
          </w:p>
          <w:p w:rsidR="00733884" w:rsidRPr="00B05A3F" w:rsidRDefault="00733884"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ostalo</w:t>
            </w:r>
          </w:p>
        </w:tc>
      </w:tr>
      <w:tr w:rsidR="00733884" w:rsidRPr="00B05A3F" w:rsidTr="00774297">
        <w:tc>
          <w:tcPr>
            <w:tcW w:w="1801" w:type="dxa"/>
            <w:shd w:val="clear" w:color="auto" w:fill="F2F2F2"/>
          </w:tcPr>
          <w:p w:rsidR="00733884" w:rsidRPr="00B05A3F" w:rsidRDefault="00733884" w:rsidP="00774297">
            <w:pPr>
              <w:spacing w:before="20" w:after="20"/>
              <w:rPr>
                <w:rFonts w:ascii="Times New Roman" w:hAnsi="Times New Roman"/>
                <w:b/>
                <w:sz w:val="18"/>
              </w:rPr>
            </w:pPr>
            <w:r w:rsidRPr="00B05A3F">
              <w:rPr>
                <w:rFonts w:ascii="Times New Roman" w:hAnsi="Times New Roman"/>
                <w:b/>
                <w:sz w:val="18"/>
              </w:rPr>
              <w:t>Napomena / Ostalo</w:t>
            </w:r>
          </w:p>
        </w:tc>
        <w:tc>
          <w:tcPr>
            <w:tcW w:w="7487" w:type="dxa"/>
            <w:gridSpan w:val="30"/>
            <w:shd w:val="clear" w:color="auto" w:fill="auto"/>
          </w:tcPr>
          <w:p w:rsidR="00733884" w:rsidRPr="00B05A3F" w:rsidRDefault="00733884"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Sukladno čl. 6. </w:t>
            </w:r>
            <w:r w:rsidRPr="00B05A3F">
              <w:rPr>
                <w:rFonts w:ascii="Times New Roman" w:eastAsia="MS Gothic" w:hAnsi="Times New Roman"/>
                <w:i/>
                <w:sz w:val="18"/>
              </w:rPr>
              <w:t>Etičkog kodeksa</w:t>
            </w:r>
            <w:r w:rsidRPr="00B05A3F">
              <w:rPr>
                <w:rFonts w:ascii="Times New Roman" w:eastAsia="MS Gothic" w:hAnsi="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733884" w:rsidRPr="00B05A3F" w:rsidRDefault="00733884"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Prema čl. 14. </w:t>
            </w:r>
            <w:r w:rsidRPr="00B05A3F">
              <w:rPr>
                <w:rFonts w:ascii="Times New Roman" w:eastAsia="MS Gothic" w:hAnsi="Times New Roman"/>
                <w:i/>
                <w:sz w:val="18"/>
              </w:rPr>
              <w:t>Etičkog kodeksa</w:t>
            </w:r>
            <w:r w:rsidRPr="00B05A3F">
              <w:rPr>
                <w:rFonts w:ascii="Times New Roman" w:eastAsia="MS Gothic" w:hAnsi="Times New Roman"/>
                <w:sz w:val="18"/>
              </w:rPr>
              <w:t xml:space="preserve"> Sveučilišta u Zadru, od studenata se očekuje „odgovorno i savjesno ispunjavanje obveza. […]Dužnost je studenata/studentica čuvati ugled i dostojanstvo svih članova/članica sveučilišne zajednice i Sveučilišta u Zadru u cjelini, promovirati moralne i akademske vrijednosti i načela.[…]</w:t>
            </w:r>
          </w:p>
          <w:p w:rsidR="00733884" w:rsidRPr="00B05A3F" w:rsidRDefault="00733884"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Etički je nedopušten svaki čin koji predstavlja povrjedu akademskog poštenja. To uključuje, ali se ne ograničava samo na: </w:t>
            </w:r>
          </w:p>
          <w:p w:rsidR="00733884" w:rsidRPr="00B05A3F" w:rsidRDefault="00733884"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 razne oblike prijevare kao što su uporaba ili posjedovanje knjiga, bilježaka, podataka, elektroničkih naprava ili drugih pomagala za vrijeme ispita, osim u slučajevima kada je to izrijekom dopušteno; </w:t>
            </w:r>
          </w:p>
          <w:p w:rsidR="00733884" w:rsidRPr="00B05A3F" w:rsidRDefault="00733884"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733884" w:rsidRPr="00B05A3F" w:rsidRDefault="00733884"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Svi oblici neetičnog ponašanja rezultirat će negativnom ocjenom u kolegiju bez mogućnosti nadoknade ili popravka. U slučaju težih povreda primjenjuje se </w:t>
            </w:r>
            <w:hyperlink r:id="rId8" w:history="1">
              <w:r w:rsidRPr="00B05A3F">
                <w:rPr>
                  <w:rStyle w:val="Hyperlink"/>
                  <w:rFonts w:ascii="Times New Roman" w:eastAsia="MS Gothic" w:hAnsi="Times New Roman"/>
                  <w:i/>
                  <w:sz w:val="18"/>
                </w:rPr>
                <w:t>Pravilnik o stegovnoj odgovornosti studenata/studentica Sveučilišta u Zadru</w:t>
              </w:r>
            </w:hyperlink>
            <w:r w:rsidRPr="00B05A3F">
              <w:rPr>
                <w:rFonts w:ascii="Times New Roman" w:eastAsia="MS Gothic" w:hAnsi="Times New Roman"/>
                <w:sz w:val="18"/>
              </w:rPr>
              <w:t>.</w:t>
            </w:r>
          </w:p>
          <w:p w:rsidR="00733884" w:rsidRPr="00B05A3F" w:rsidRDefault="00733884" w:rsidP="00774297">
            <w:pPr>
              <w:tabs>
                <w:tab w:val="left" w:pos="1218"/>
              </w:tabs>
              <w:spacing w:before="20" w:after="20"/>
              <w:jc w:val="both"/>
              <w:rPr>
                <w:rFonts w:ascii="Times New Roman" w:eastAsia="MS Gothic" w:hAnsi="Times New Roman"/>
                <w:sz w:val="18"/>
              </w:rPr>
            </w:pPr>
          </w:p>
          <w:p w:rsidR="00733884" w:rsidRPr="00B05A3F" w:rsidRDefault="00733884"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U elektronskoj komunikaciji bit će odgovarano samo na poruke koje dolaze spoznatih adresa s imenom i prezimenom, te koje su napisane hrvatskim standardom i primjerenim akademskim stilom.</w:t>
            </w:r>
          </w:p>
          <w:p w:rsidR="00733884" w:rsidRPr="00B05A3F" w:rsidRDefault="00733884" w:rsidP="00774297">
            <w:pPr>
              <w:tabs>
                <w:tab w:val="left" w:pos="1218"/>
              </w:tabs>
              <w:spacing w:before="20" w:after="20"/>
              <w:jc w:val="both"/>
              <w:rPr>
                <w:rFonts w:ascii="Times New Roman" w:eastAsia="MS Gothic" w:hAnsi="Times New Roman"/>
                <w:sz w:val="18"/>
              </w:rPr>
            </w:pPr>
          </w:p>
          <w:p w:rsidR="00733884" w:rsidRPr="00B05A3F" w:rsidRDefault="00733884"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U kolegiju se koristi Merlin, sustav za e-učenje, pa su studentima potrebni AAI računi.</w:t>
            </w:r>
          </w:p>
        </w:tc>
      </w:tr>
    </w:tbl>
    <w:p w:rsidR="00733884" w:rsidRPr="00386E9C" w:rsidRDefault="00733884" w:rsidP="00733884">
      <w:pPr>
        <w:rPr>
          <w:rFonts w:ascii="Georgia" w:hAnsi="Georgia"/>
          <w:sz w:val="24"/>
        </w:rPr>
      </w:pPr>
    </w:p>
    <w:p w:rsidR="00733884" w:rsidRDefault="00733884" w:rsidP="00733884"/>
    <w:p w:rsidR="00733884" w:rsidRDefault="00733884" w:rsidP="00733884"/>
    <w:p w:rsidR="00C4593F" w:rsidRDefault="00C4593F"/>
    <w:sectPr w:rsidR="00C4593F" w:rsidSect="00A97AE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93F" w:rsidRDefault="00C4593F" w:rsidP="00733884">
      <w:pPr>
        <w:spacing w:after="0" w:line="240" w:lineRule="auto"/>
      </w:pPr>
      <w:r>
        <w:separator/>
      </w:r>
    </w:p>
  </w:endnote>
  <w:endnote w:type="continuationSeparator" w:id="1">
    <w:p w:rsidR="00C4593F" w:rsidRDefault="00C4593F" w:rsidP="00733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93F" w:rsidRDefault="00C4593F" w:rsidP="00733884">
      <w:pPr>
        <w:spacing w:after="0" w:line="240" w:lineRule="auto"/>
      </w:pPr>
      <w:r>
        <w:separator/>
      </w:r>
    </w:p>
  </w:footnote>
  <w:footnote w:type="continuationSeparator" w:id="1">
    <w:p w:rsidR="00C4593F" w:rsidRDefault="00C4593F" w:rsidP="00733884">
      <w:pPr>
        <w:spacing w:after="0" w:line="240" w:lineRule="auto"/>
      </w:pPr>
      <w:r>
        <w:continuationSeparator/>
      </w:r>
    </w:p>
  </w:footnote>
  <w:footnote w:id="2">
    <w:p w:rsidR="00733884" w:rsidRDefault="00733884" w:rsidP="00733884">
      <w:pPr>
        <w:pStyle w:val="FootnoteText"/>
        <w:jc w:val="both"/>
      </w:pPr>
      <w:r>
        <w:rPr>
          <w:rStyle w:val="FootnoteReference"/>
        </w:rPr>
        <w:t>*</w:t>
      </w:r>
      <w:r w:rsidRPr="008A3541">
        <w:rPr>
          <w:rFonts w:ascii="Times New Roman" w:hAnsi="Times New Roman"/>
          <w:i/>
          <w:color w:val="404040"/>
          <w:sz w:val="18"/>
          <w:szCs w:val="18"/>
        </w:rPr>
        <w:t xml:space="preserve">Riječi i pojmovni sklopovi u ovom obrascu koji imaju rodno značenje odnose </w:t>
      </w:r>
      <w:bookmarkStart w:id="0" w:name="_GoBack"/>
      <w:bookmarkEnd w:id="0"/>
      <w:r w:rsidRPr="008A3541">
        <w:rPr>
          <w:rFonts w:ascii="Times New Roman" w:hAnsi="Times New Roman"/>
          <w:i/>
          <w:color w:val="404040"/>
          <w:sz w:val="18"/>
          <w:szCs w:val="18"/>
        </w:rPr>
        <w:t>se na jednak način na muški i ženski rod.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E9" w:rsidRPr="001B3A0D" w:rsidRDefault="00C4593F" w:rsidP="00A97AE9">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1025" style="position:absolute;left:0;text-align:left;margin-left:-16.35pt;margin-top:-21.1pt;width:91.6pt;height:7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A97AE9" w:rsidRDefault="00C4593F" w:rsidP="00A97AE9">
                <w:r w:rsidRPr="00633D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6.5pt;height:63.7pt;visibility:visible">
                      <v:imagedata r:id="rId1" o:title=""/>
                    </v:shape>
                  </w:pict>
                </w:r>
              </w:p>
            </w:txbxContent>
          </v:textbox>
        </v:rect>
      </w:pic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A97AE9" w:rsidRPr="001B3A0D" w:rsidRDefault="00C4593F" w:rsidP="00A97AE9">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A97AE9" w:rsidRPr="001B3A0D" w:rsidRDefault="00C4593F" w:rsidP="00A97AE9">
    <w:pPr>
      <w:pBdr>
        <w:bottom w:val="single" w:sz="4" w:space="1" w:color="auto"/>
      </w:pBdr>
      <w:tabs>
        <w:tab w:val="left" w:pos="1418"/>
      </w:tabs>
      <w:spacing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A97AE9" w:rsidRDefault="00C4593F" w:rsidP="00A97AE9">
    <w:pPr>
      <w:pStyle w:val="Header"/>
    </w:pPr>
  </w:p>
  <w:p w:rsidR="00A97AE9" w:rsidRDefault="00C45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F0446"/>
    <w:multiLevelType w:val="hybridMultilevel"/>
    <w:tmpl w:val="38DE303E"/>
    <w:lvl w:ilvl="0" w:tplc="8C24C2FE">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733884"/>
    <w:rsid w:val="00733884"/>
    <w:rsid w:val="00C459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3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884"/>
    <w:rPr>
      <w:rFonts w:ascii="Times New Roman" w:eastAsia="Times New Roman" w:hAnsi="Times New Roman" w:cs="Times New Roman"/>
      <w:b/>
      <w:bCs/>
      <w:sz w:val="36"/>
      <w:szCs w:val="36"/>
    </w:rPr>
  </w:style>
  <w:style w:type="paragraph" w:styleId="ListParagraph">
    <w:name w:val="List Paragraph"/>
    <w:basedOn w:val="Normal"/>
    <w:uiPriority w:val="34"/>
    <w:qFormat/>
    <w:rsid w:val="00733884"/>
    <w:pPr>
      <w:spacing w:before="120" w:after="120" w:line="240" w:lineRule="auto"/>
      <w:ind w:left="720"/>
      <w:contextualSpacing/>
    </w:pPr>
    <w:rPr>
      <w:rFonts w:ascii="Calibri" w:eastAsia="Calibri" w:hAnsi="Calibri" w:cs="Times New Roman"/>
      <w:lang w:eastAsia="en-US"/>
    </w:rPr>
  </w:style>
  <w:style w:type="paragraph" w:styleId="Header">
    <w:name w:val="header"/>
    <w:basedOn w:val="Normal"/>
    <w:link w:val="HeaderChar"/>
    <w:uiPriority w:val="99"/>
    <w:unhideWhenUsed/>
    <w:rsid w:val="00733884"/>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733884"/>
    <w:rPr>
      <w:rFonts w:ascii="Calibri" w:eastAsia="Calibri" w:hAnsi="Calibri" w:cs="Times New Roman"/>
      <w:lang w:eastAsia="en-US"/>
    </w:rPr>
  </w:style>
  <w:style w:type="character" w:styleId="Hyperlink">
    <w:name w:val="Hyperlink"/>
    <w:basedOn w:val="DefaultParagraphFont"/>
    <w:uiPriority w:val="99"/>
    <w:unhideWhenUsed/>
    <w:rsid w:val="00733884"/>
    <w:rPr>
      <w:color w:val="0000FF"/>
      <w:u w:val="single"/>
    </w:rPr>
  </w:style>
  <w:style w:type="paragraph" w:styleId="FootnoteText">
    <w:name w:val="footnote text"/>
    <w:basedOn w:val="Normal"/>
    <w:link w:val="FootnoteTextChar"/>
    <w:uiPriority w:val="99"/>
    <w:semiHidden/>
    <w:unhideWhenUsed/>
    <w:rsid w:val="00733884"/>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733884"/>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7338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ettings" Target="settings.xml"/><Relationship Id="rId7" Type="http://schemas.openxmlformats.org/officeDocument/2006/relationships/hyperlink" Target="https://loomen.carne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2019-10-15T06:05:00Z</dcterms:created>
  <dcterms:modified xsi:type="dcterms:W3CDTF">2019-10-15T06:14:00Z</dcterms:modified>
</cp:coreProperties>
</file>