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233"/>
        <w:gridCol w:w="413"/>
        <w:gridCol w:w="564"/>
        <w:gridCol w:w="247"/>
        <w:gridCol w:w="246"/>
        <w:gridCol w:w="898"/>
        <w:gridCol w:w="351"/>
        <w:gridCol w:w="986"/>
        <w:gridCol w:w="487"/>
        <w:gridCol w:w="719"/>
        <w:gridCol w:w="503"/>
        <w:gridCol w:w="224"/>
        <w:gridCol w:w="1814"/>
      </w:tblGrid>
      <w:tr w:rsidR="00EB7C15" w:rsidRPr="00675AB5" w:rsidTr="00D43DBC">
        <w:tc>
          <w:tcPr>
            <w:tcW w:w="9180" w:type="dxa"/>
            <w:gridSpan w:val="14"/>
            <w:vAlign w:val="center"/>
          </w:tcPr>
          <w:p w:rsidR="00EB7C15" w:rsidRPr="00675AB5" w:rsidRDefault="00EB7C15" w:rsidP="00D43DBC">
            <w:pPr>
              <w:spacing w:line="276" w:lineRule="auto"/>
              <w:jc w:val="center"/>
              <w:rPr>
                <w:b/>
                <w:bCs/>
                <w:sz w:val="20"/>
                <w:szCs w:val="20"/>
                <w:lang w:val="hr-HR"/>
              </w:rPr>
            </w:pPr>
            <w:r w:rsidRPr="00675AB5">
              <w:rPr>
                <w:b/>
                <w:bCs/>
                <w:sz w:val="20"/>
                <w:szCs w:val="20"/>
                <w:lang w:val="hr-HR"/>
              </w:rPr>
              <w:t xml:space="preserve">1. godina </w:t>
            </w:r>
          </w:p>
        </w:tc>
      </w:tr>
      <w:tr w:rsidR="00EB7C15" w:rsidRPr="00675AB5" w:rsidTr="00D43DBC">
        <w:tc>
          <w:tcPr>
            <w:tcW w:w="9180" w:type="dxa"/>
            <w:gridSpan w:val="14"/>
          </w:tcPr>
          <w:p w:rsidR="00EB7C15" w:rsidRPr="00675AB5" w:rsidRDefault="00EB7C15" w:rsidP="00D43DBC">
            <w:pPr>
              <w:spacing w:line="276" w:lineRule="auto"/>
              <w:rPr>
                <w:sz w:val="20"/>
                <w:szCs w:val="20"/>
                <w:lang w:val="hr-HR"/>
              </w:rPr>
            </w:pPr>
            <w:r w:rsidRPr="00675AB5">
              <w:rPr>
                <w:b/>
                <w:bCs/>
                <w:smallCaps/>
                <w:sz w:val="20"/>
                <w:szCs w:val="20"/>
                <w:lang w:val="hr-HR"/>
              </w:rPr>
              <w:t>Naziv kolegija:</w:t>
            </w:r>
            <w:r w:rsidRPr="00675AB5">
              <w:rPr>
                <w:sz w:val="20"/>
                <w:szCs w:val="20"/>
                <w:lang w:val="hr-HR"/>
              </w:rPr>
              <w:t xml:space="preserve">  </w:t>
            </w:r>
            <w:bookmarkStart w:id="0" w:name="_GoBack"/>
            <w:r w:rsidRPr="00675AB5">
              <w:rPr>
                <w:b/>
                <w:sz w:val="20"/>
                <w:szCs w:val="20"/>
                <w:lang w:val="hr-HR"/>
              </w:rPr>
              <w:t xml:space="preserve">Rimski </w:t>
            </w:r>
            <w:r w:rsidRPr="00675AB5">
              <w:rPr>
                <w:b/>
                <w:bCs/>
                <w:sz w:val="20"/>
                <w:szCs w:val="20"/>
                <w:lang w:val="hr-HR"/>
              </w:rPr>
              <w:t xml:space="preserve">svećenici </w:t>
            </w:r>
            <w:bookmarkEnd w:id="0"/>
          </w:p>
        </w:tc>
      </w:tr>
      <w:tr w:rsidR="00EB7C15" w:rsidRPr="00675AB5" w:rsidTr="00D43DBC">
        <w:tc>
          <w:tcPr>
            <w:tcW w:w="9180" w:type="dxa"/>
            <w:gridSpan w:val="14"/>
          </w:tcPr>
          <w:p w:rsidR="00EB7C15" w:rsidRPr="00675AB5" w:rsidRDefault="00EB7C15" w:rsidP="00D43DBC">
            <w:pPr>
              <w:spacing w:line="276" w:lineRule="auto"/>
              <w:rPr>
                <w:sz w:val="20"/>
                <w:szCs w:val="20"/>
                <w:lang w:val="hr-HR"/>
              </w:rPr>
            </w:pPr>
            <w:r w:rsidRPr="00675AB5">
              <w:rPr>
                <w:b/>
                <w:bCs/>
                <w:smallCaps/>
                <w:sz w:val="20"/>
                <w:szCs w:val="20"/>
                <w:lang w:val="hr-HR"/>
              </w:rPr>
              <w:t>Opće obavijesti</w:t>
            </w:r>
          </w:p>
        </w:tc>
      </w:tr>
      <w:tr w:rsidR="00EB7C15" w:rsidRPr="0066173E" w:rsidTr="00D43DBC">
        <w:trPr>
          <w:cantSplit/>
        </w:trPr>
        <w:tc>
          <w:tcPr>
            <w:tcW w:w="2141" w:type="dxa"/>
            <w:gridSpan w:val="3"/>
            <w:vAlign w:val="center"/>
          </w:tcPr>
          <w:p w:rsidR="00EB7C15" w:rsidRPr="00675AB5" w:rsidRDefault="00EB7C15" w:rsidP="00D43DBC">
            <w:pPr>
              <w:spacing w:line="276" w:lineRule="auto"/>
              <w:rPr>
                <w:b/>
                <w:bCs/>
                <w:smallCaps/>
                <w:sz w:val="20"/>
                <w:szCs w:val="20"/>
                <w:lang w:val="hr-HR"/>
              </w:rPr>
            </w:pPr>
            <w:r w:rsidRPr="00675AB5">
              <w:rPr>
                <w:b/>
                <w:bCs/>
                <w:smallCaps/>
                <w:sz w:val="20"/>
                <w:szCs w:val="20"/>
                <w:lang w:val="hr-HR"/>
              </w:rPr>
              <w:t>odjel</w:t>
            </w:r>
          </w:p>
        </w:tc>
        <w:tc>
          <w:tcPr>
            <w:tcW w:w="7039" w:type="dxa"/>
            <w:gridSpan w:val="11"/>
            <w:vAlign w:val="center"/>
          </w:tcPr>
          <w:p w:rsidR="00EB7C15" w:rsidRPr="00675AB5" w:rsidRDefault="00EB7C15" w:rsidP="00D43DBC">
            <w:pPr>
              <w:spacing w:line="276" w:lineRule="auto"/>
              <w:rPr>
                <w:sz w:val="20"/>
                <w:szCs w:val="20"/>
                <w:lang w:val="hr-HR"/>
              </w:rPr>
            </w:pPr>
            <w:r w:rsidRPr="00675AB5">
              <w:rPr>
                <w:sz w:val="20"/>
                <w:szCs w:val="20"/>
                <w:lang w:val="hr-HR"/>
              </w:rPr>
              <w:t>Odjel za arheologiju – Sveučilište u Zadru</w:t>
            </w:r>
          </w:p>
        </w:tc>
      </w:tr>
      <w:tr w:rsidR="00EB7C15" w:rsidRPr="0066173E" w:rsidTr="00D43DBC">
        <w:trPr>
          <w:cantSplit/>
        </w:trPr>
        <w:tc>
          <w:tcPr>
            <w:tcW w:w="2141" w:type="dxa"/>
            <w:gridSpan w:val="3"/>
            <w:vAlign w:val="center"/>
          </w:tcPr>
          <w:p w:rsidR="00EB7C15" w:rsidRPr="00675AB5" w:rsidRDefault="00EB7C15" w:rsidP="00D43DBC">
            <w:pPr>
              <w:spacing w:line="276" w:lineRule="auto"/>
              <w:rPr>
                <w:b/>
                <w:bCs/>
                <w:smallCaps/>
                <w:sz w:val="20"/>
                <w:szCs w:val="20"/>
                <w:lang w:val="hr-HR"/>
              </w:rPr>
            </w:pPr>
            <w:r w:rsidRPr="00675AB5">
              <w:rPr>
                <w:b/>
                <w:bCs/>
                <w:smallCaps/>
                <w:sz w:val="20"/>
                <w:szCs w:val="20"/>
                <w:lang w:val="hr-HR"/>
              </w:rPr>
              <w:t>studij</w:t>
            </w:r>
          </w:p>
        </w:tc>
        <w:tc>
          <w:tcPr>
            <w:tcW w:w="7039" w:type="dxa"/>
            <w:gridSpan w:val="11"/>
            <w:vAlign w:val="center"/>
          </w:tcPr>
          <w:p w:rsidR="00EB7C15" w:rsidRPr="00675AB5" w:rsidRDefault="00EB7C15" w:rsidP="00D43DBC">
            <w:pPr>
              <w:spacing w:line="276" w:lineRule="auto"/>
              <w:rPr>
                <w:sz w:val="20"/>
                <w:szCs w:val="20"/>
                <w:lang w:val="hr-HR"/>
              </w:rPr>
            </w:pPr>
            <w:r w:rsidRPr="00675AB5">
              <w:rPr>
                <w:sz w:val="20"/>
                <w:szCs w:val="20"/>
                <w:lang w:val="hr-HR"/>
              </w:rPr>
              <w:t>Poslijediplomski znanstveni studij “Arheologija istočnog Jadrana”</w:t>
            </w:r>
          </w:p>
        </w:tc>
      </w:tr>
      <w:tr w:rsidR="00EB7C15" w:rsidRPr="00675AB5" w:rsidTr="00D43DBC">
        <w:trPr>
          <w:cantSplit/>
        </w:trPr>
        <w:tc>
          <w:tcPr>
            <w:tcW w:w="2141" w:type="dxa"/>
            <w:gridSpan w:val="3"/>
            <w:vAlign w:val="center"/>
          </w:tcPr>
          <w:p w:rsidR="00EB7C15" w:rsidRPr="00675AB5" w:rsidRDefault="00EB7C15" w:rsidP="00D43DBC">
            <w:pPr>
              <w:spacing w:line="276" w:lineRule="auto"/>
              <w:rPr>
                <w:b/>
                <w:bCs/>
                <w:smallCaps/>
                <w:sz w:val="20"/>
                <w:szCs w:val="20"/>
                <w:lang w:val="hr-HR"/>
              </w:rPr>
            </w:pPr>
            <w:r w:rsidRPr="00675AB5">
              <w:rPr>
                <w:b/>
                <w:bCs/>
                <w:smallCaps/>
                <w:sz w:val="20"/>
                <w:szCs w:val="20"/>
                <w:lang w:val="hr-HR"/>
              </w:rPr>
              <w:t>usmjerenje</w:t>
            </w:r>
          </w:p>
        </w:tc>
        <w:tc>
          <w:tcPr>
            <w:tcW w:w="4498" w:type="dxa"/>
            <w:gridSpan w:val="8"/>
            <w:vAlign w:val="center"/>
          </w:tcPr>
          <w:p w:rsidR="00EB7C15" w:rsidRPr="00675AB5" w:rsidRDefault="00EB7C15" w:rsidP="00D43DBC">
            <w:pPr>
              <w:spacing w:line="276" w:lineRule="auto"/>
              <w:rPr>
                <w:sz w:val="20"/>
                <w:szCs w:val="20"/>
                <w:lang w:val="hr-HR"/>
              </w:rPr>
            </w:pPr>
            <w:r w:rsidRPr="00675AB5">
              <w:rPr>
                <w:sz w:val="20"/>
                <w:szCs w:val="20"/>
                <w:lang w:val="hr-HR"/>
              </w:rPr>
              <w:t>Antička arheologija</w:t>
            </w:r>
          </w:p>
        </w:tc>
        <w:tc>
          <w:tcPr>
            <w:tcW w:w="2541" w:type="dxa"/>
            <w:gridSpan w:val="3"/>
          </w:tcPr>
          <w:p w:rsidR="00EB7C15" w:rsidRPr="00675AB5" w:rsidRDefault="00EB7C15" w:rsidP="00D43DBC">
            <w:pPr>
              <w:spacing w:line="276" w:lineRule="auto"/>
              <w:jc w:val="center"/>
              <w:rPr>
                <w:b/>
                <w:bCs/>
                <w:sz w:val="20"/>
                <w:szCs w:val="20"/>
                <w:lang w:val="hr-HR"/>
              </w:rPr>
            </w:pPr>
            <w:r w:rsidRPr="00675AB5">
              <w:rPr>
                <w:b/>
                <w:bCs/>
                <w:sz w:val="20"/>
                <w:szCs w:val="20"/>
                <w:lang w:val="hr-HR"/>
              </w:rPr>
              <w:t>Godina studija</w:t>
            </w:r>
          </w:p>
        </w:tc>
      </w:tr>
      <w:tr w:rsidR="00EB7C15" w:rsidRPr="00675AB5" w:rsidTr="00D43DBC">
        <w:trPr>
          <w:cantSplit/>
        </w:trPr>
        <w:tc>
          <w:tcPr>
            <w:tcW w:w="2141" w:type="dxa"/>
            <w:gridSpan w:val="3"/>
            <w:vAlign w:val="center"/>
          </w:tcPr>
          <w:p w:rsidR="00EB7C15" w:rsidRPr="00675AB5" w:rsidRDefault="00EB7C15" w:rsidP="00D43DBC">
            <w:pPr>
              <w:spacing w:line="276" w:lineRule="auto"/>
              <w:rPr>
                <w:b/>
                <w:bCs/>
                <w:smallCaps/>
                <w:sz w:val="20"/>
                <w:szCs w:val="20"/>
                <w:lang w:val="hr-HR"/>
              </w:rPr>
            </w:pPr>
            <w:r w:rsidRPr="00675AB5">
              <w:rPr>
                <w:b/>
                <w:bCs/>
                <w:smallCaps/>
                <w:sz w:val="20"/>
                <w:szCs w:val="20"/>
                <w:lang w:val="hr-HR"/>
              </w:rPr>
              <w:t>Nastavnik</w:t>
            </w:r>
          </w:p>
        </w:tc>
        <w:tc>
          <w:tcPr>
            <w:tcW w:w="4498" w:type="dxa"/>
            <w:gridSpan w:val="8"/>
            <w:vAlign w:val="center"/>
          </w:tcPr>
          <w:p w:rsidR="00EB7C15" w:rsidRPr="00675AB5" w:rsidRDefault="00EB7C15" w:rsidP="00D43DBC">
            <w:pPr>
              <w:spacing w:line="276" w:lineRule="auto"/>
              <w:rPr>
                <w:b/>
                <w:sz w:val="20"/>
                <w:szCs w:val="20"/>
                <w:lang w:val="hr-HR"/>
              </w:rPr>
            </w:pPr>
            <w:r w:rsidRPr="00675AB5">
              <w:rPr>
                <w:b/>
                <w:bCs/>
                <w:sz w:val="20"/>
                <w:szCs w:val="20"/>
                <w:lang w:val="hr-HR"/>
              </w:rPr>
              <w:t>Doc. dr. sc. Ivana Jadrić-Kučan</w:t>
            </w:r>
          </w:p>
        </w:tc>
        <w:tc>
          <w:tcPr>
            <w:tcW w:w="2541" w:type="dxa"/>
            <w:gridSpan w:val="3"/>
            <w:vMerge w:val="restart"/>
          </w:tcPr>
          <w:p w:rsidR="00EB7C15" w:rsidRPr="00675AB5" w:rsidRDefault="00EB7C15" w:rsidP="00D43DBC">
            <w:pPr>
              <w:spacing w:line="276" w:lineRule="auto"/>
              <w:jc w:val="center"/>
              <w:rPr>
                <w:sz w:val="20"/>
                <w:szCs w:val="20"/>
                <w:lang w:val="hr-HR"/>
              </w:rPr>
            </w:pPr>
            <w:r w:rsidRPr="00675AB5">
              <w:rPr>
                <w:sz w:val="20"/>
                <w:szCs w:val="20"/>
                <w:lang w:val="hr-HR"/>
              </w:rPr>
              <w:t>1.</w:t>
            </w:r>
          </w:p>
          <w:p w:rsidR="00EB7C15" w:rsidRPr="00675AB5" w:rsidRDefault="00EB7C15" w:rsidP="00D43DBC">
            <w:pPr>
              <w:spacing w:line="276" w:lineRule="auto"/>
              <w:jc w:val="center"/>
              <w:rPr>
                <w:sz w:val="20"/>
                <w:szCs w:val="20"/>
                <w:lang w:val="hr-HR"/>
              </w:rPr>
            </w:pPr>
          </w:p>
          <w:p w:rsidR="00EB7C15" w:rsidRPr="00675AB5" w:rsidRDefault="00EB7C15" w:rsidP="00D43DBC">
            <w:pPr>
              <w:spacing w:line="276" w:lineRule="auto"/>
              <w:jc w:val="center"/>
              <w:rPr>
                <w:b/>
                <w:sz w:val="20"/>
                <w:szCs w:val="20"/>
                <w:lang w:val="hr-HR"/>
              </w:rPr>
            </w:pPr>
            <w:r w:rsidRPr="00675AB5">
              <w:rPr>
                <w:b/>
                <w:sz w:val="20"/>
                <w:szCs w:val="20"/>
                <w:lang w:val="hr-HR"/>
              </w:rPr>
              <w:t>Semestar:</w:t>
            </w:r>
          </w:p>
          <w:p w:rsidR="00EB7C15" w:rsidRPr="00675AB5" w:rsidRDefault="00EB7C15" w:rsidP="00D43DBC">
            <w:pPr>
              <w:spacing w:line="276" w:lineRule="auto"/>
              <w:jc w:val="center"/>
              <w:rPr>
                <w:sz w:val="20"/>
                <w:szCs w:val="20"/>
                <w:lang w:val="hr-HR"/>
              </w:rPr>
            </w:pPr>
            <w:r w:rsidRPr="00675AB5">
              <w:rPr>
                <w:sz w:val="20"/>
                <w:szCs w:val="20"/>
                <w:lang w:val="hr-HR"/>
              </w:rPr>
              <w:t>I.</w:t>
            </w:r>
          </w:p>
        </w:tc>
      </w:tr>
      <w:tr w:rsidR="00EB7C15" w:rsidRPr="0066173E" w:rsidTr="00D43DBC">
        <w:trPr>
          <w:cantSplit/>
        </w:trPr>
        <w:tc>
          <w:tcPr>
            <w:tcW w:w="2141" w:type="dxa"/>
            <w:gridSpan w:val="3"/>
            <w:vAlign w:val="center"/>
          </w:tcPr>
          <w:p w:rsidR="00EB7C15" w:rsidRPr="00675AB5" w:rsidRDefault="00EB7C15" w:rsidP="00D43DBC">
            <w:pPr>
              <w:spacing w:line="276" w:lineRule="auto"/>
              <w:rPr>
                <w:b/>
                <w:bCs/>
                <w:smallCaps/>
                <w:sz w:val="20"/>
                <w:szCs w:val="20"/>
                <w:lang w:val="hr-HR"/>
              </w:rPr>
            </w:pPr>
            <w:r w:rsidRPr="00675AB5">
              <w:rPr>
                <w:b/>
                <w:bCs/>
                <w:smallCaps/>
                <w:sz w:val="20"/>
                <w:szCs w:val="20"/>
                <w:lang w:val="hr-HR"/>
              </w:rPr>
              <w:t>Ustanova</w:t>
            </w:r>
          </w:p>
        </w:tc>
        <w:tc>
          <w:tcPr>
            <w:tcW w:w="4498" w:type="dxa"/>
            <w:gridSpan w:val="8"/>
            <w:vAlign w:val="center"/>
          </w:tcPr>
          <w:p w:rsidR="00EB7C15" w:rsidRPr="00675AB5" w:rsidRDefault="00EB7C15" w:rsidP="00D43DBC">
            <w:pPr>
              <w:spacing w:line="276" w:lineRule="auto"/>
              <w:rPr>
                <w:sz w:val="20"/>
                <w:szCs w:val="20"/>
                <w:lang w:val="hr-HR"/>
              </w:rPr>
            </w:pPr>
            <w:r w:rsidRPr="00675AB5">
              <w:rPr>
                <w:sz w:val="20"/>
                <w:szCs w:val="20"/>
                <w:lang w:val="hr-HR"/>
              </w:rPr>
              <w:t>Sveučilište u Zadru - Odjel za arheologiju</w:t>
            </w:r>
          </w:p>
        </w:tc>
        <w:tc>
          <w:tcPr>
            <w:tcW w:w="2541" w:type="dxa"/>
            <w:gridSpan w:val="3"/>
            <w:vMerge/>
            <w:vAlign w:val="center"/>
          </w:tcPr>
          <w:p w:rsidR="00EB7C15" w:rsidRPr="00675AB5" w:rsidRDefault="00EB7C15" w:rsidP="00D43DBC">
            <w:pPr>
              <w:spacing w:line="276" w:lineRule="auto"/>
              <w:rPr>
                <w:sz w:val="20"/>
                <w:szCs w:val="20"/>
                <w:lang w:val="hr-HR"/>
              </w:rPr>
            </w:pPr>
          </w:p>
        </w:tc>
      </w:tr>
      <w:tr w:rsidR="00EB7C15" w:rsidRPr="0066173E" w:rsidTr="00D43DBC">
        <w:trPr>
          <w:cantSplit/>
        </w:trPr>
        <w:tc>
          <w:tcPr>
            <w:tcW w:w="2141" w:type="dxa"/>
            <w:gridSpan w:val="3"/>
            <w:vAlign w:val="center"/>
          </w:tcPr>
          <w:p w:rsidR="00EB7C15" w:rsidRPr="00675AB5" w:rsidRDefault="00EB7C15" w:rsidP="00D43DBC">
            <w:pPr>
              <w:spacing w:line="276" w:lineRule="auto"/>
              <w:rPr>
                <w:b/>
                <w:bCs/>
                <w:smallCaps/>
                <w:sz w:val="20"/>
                <w:szCs w:val="20"/>
                <w:lang w:val="hr-HR"/>
              </w:rPr>
            </w:pPr>
            <w:r w:rsidRPr="00675AB5">
              <w:rPr>
                <w:b/>
                <w:bCs/>
                <w:smallCaps/>
                <w:sz w:val="20"/>
                <w:szCs w:val="20"/>
                <w:lang w:val="hr-HR"/>
              </w:rPr>
              <w:t>Status kolegija</w:t>
            </w:r>
          </w:p>
        </w:tc>
        <w:tc>
          <w:tcPr>
            <w:tcW w:w="1057" w:type="dxa"/>
            <w:gridSpan w:val="3"/>
          </w:tcPr>
          <w:p w:rsidR="00EB7C15" w:rsidRPr="00675AB5" w:rsidRDefault="00EB7C15" w:rsidP="00D43DBC">
            <w:pPr>
              <w:spacing w:line="276" w:lineRule="auto"/>
              <w:jc w:val="center"/>
              <w:rPr>
                <w:b/>
                <w:bCs/>
                <w:sz w:val="20"/>
                <w:szCs w:val="20"/>
                <w:lang w:val="hr-HR"/>
              </w:rPr>
            </w:pPr>
          </w:p>
        </w:tc>
        <w:tc>
          <w:tcPr>
            <w:tcW w:w="898" w:type="dxa"/>
          </w:tcPr>
          <w:p w:rsidR="00EB7C15" w:rsidRPr="00675AB5" w:rsidRDefault="00EB7C15" w:rsidP="00D43DBC">
            <w:pPr>
              <w:spacing w:line="276" w:lineRule="auto"/>
              <w:jc w:val="center"/>
              <w:rPr>
                <w:b/>
                <w:sz w:val="20"/>
                <w:szCs w:val="20"/>
                <w:lang w:val="hr-HR"/>
              </w:rPr>
            </w:pPr>
            <w:r w:rsidRPr="00675AB5">
              <w:rPr>
                <w:b/>
                <w:sz w:val="20"/>
                <w:szCs w:val="20"/>
                <w:lang w:val="hr-HR"/>
              </w:rPr>
              <w:t>Izborni</w:t>
            </w:r>
          </w:p>
        </w:tc>
        <w:tc>
          <w:tcPr>
            <w:tcW w:w="2543" w:type="dxa"/>
            <w:gridSpan w:val="4"/>
          </w:tcPr>
          <w:p w:rsidR="00EB7C15" w:rsidRPr="00675AB5" w:rsidRDefault="00EB7C15" w:rsidP="00D43DBC">
            <w:pPr>
              <w:spacing w:line="276" w:lineRule="auto"/>
              <w:jc w:val="center"/>
              <w:rPr>
                <w:sz w:val="20"/>
                <w:szCs w:val="20"/>
                <w:lang w:val="hr-HR"/>
              </w:rPr>
            </w:pPr>
            <w:r w:rsidRPr="00675AB5">
              <w:rPr>
                <w:sz w:val="20"/>
                <w:szCs w:val="20"/>
                <w:lang w:val="hr-HR"/>
              </w:rPr>
              <w:t>Izborni za druge studij. grupe</w:t>
            </w:r>
          </w:p>
        </w:tc>
        <w:tc>
          <w:tcPr>
            <w:tcW w:w="2541" w:type="dxa"/>
            <w:gridSpan w:val="3"/>
            <w:vMerge/>
            <w:vAlign w:val="center"/>
          </w:tcPr>
          <w:p w:rsidR="00EB7C15" w:rsidRPr="00675AB5" w:rsidRDefault="00EB7C15" w:rsidP="00D43DBC">
            <w:pPr>
              <w:spacing w:line="276" w:lineRule="auto"/>
              <w:rPr>
                <w:sz w:val="20"/>
                <w:szCs w:val="20"/>
                <w:lang w:val="hr-HR"/>
              </w:rPr>
            </w:pPr>
          </w:p>
        </w:tc>
      </w:tr>
      <w:tr w:rsidR="00EB7C15" w:rsidRPr="0066173E" w:rsidTr="00D43DBC">
        <w:tc>
          <w:tcPr>
            <w:tcW w:w="9180" w:type="dxa"/>
            <w:gridSpan w:val="14"/>
          </w:tcPr>
          <w:p w:rsidR="00EB7C15" w:rsidRPr="00675AB5" w:rsidRDefault="00EB7C15" w:rsidP="00EB7C15">
            <w:pPr>
              <w:numPr>
                <w:ilvl w:val="0"/>
                <w:numId w:val="1"/>
              </w:numPr>
              <w:spacing w:line="276" w:lineRule="auto"/>
              <w:rPr>
                <w:sz w:val="20"/>
                <w:szCs w:val="20"/>
                <w:lang w:val="hr-HR"/>
              </w:rPr>
            </w:pPr>
            <w:r w:rsidRPr="00675AB5">
              <w:rPr>
                <w:b/>
                <w:bCs/>
                <w:smallCaps/>
                <w:sz w:val="20"/>
                <w:szCs w:val="20"/>
                <w:lang w:val="hr-HR"/>
              </w:rPr>
              <w:t>Opis kolegija:</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Kolegij obrađuje religijske dužnosnike rimskog doba. U rimskoj provinciji Dalmaciji sačuvani su brojni arheološki spomenici koje svjedoče o njihovim kultnim aktivnostima, te će se ovaj kolegij pozabaviti pitanjima kao što su: tko su bili rimski svećenici/-ce, kako su bili organizirani/-e, koje su bile njihove religiozne dužnosti, koliko je trajala njihova služba, itd. </w:t>
            </w:r>
          </w:p>
          <w:p w:rsidR="00EB7C15" w:rsidRPr="00675AB5" w:rsidRDefault="00EB7C15" w:rsidP="00D43DBC">
            <w:pPr>
              <w:spacing w:line="276" w:lineRule="auto"/>
              <w:jc w:val="both"/>
              <w:rPr>
                <w:bCs/>
                <w:sz w:val="20"/>
                <w:szCs w:val="20"/>
                <w:lang w:val="hr-HR"/>
              </w:rPr>
            </w:pPr>
          </w:p>
        </w:tc>
      </w:tr>
      <w:tr w:rsidR="00EB7C15" w:rsidRPr="0066173E" w:rsidTr="00D43DBC">
        <w:tc>
          <w:tcPr>
            <w:tcW w:w="9180" w:type="dxa"/>
            <w:gridSpan w:val="14"/>
          </w:tcPr>
          <w:p w:rsidR="00EB7C15" w:rsidRPr="00675AB5" w:rsidRDefault="00EB7C15" w:rsidP="00EB7C15">
            <w:pPr>
              <w:numPr>
                <w:ilvl w:val="0"/>
                <w:numId w:val="1"/>
              </w:numPr>
              <w:spacing w:line="276" w:lineRule="auto"/>
              <w:rPr>
                <w:sz w:val="20"/>
                <w:szCs w:val="20"/>
                <w:lang w:val="hr-HR"/>
              </w:rPr>
            </w:pPr>
            <w:r w:rsidRPr="00675AB5">
              <w:rPr>
                <w:b/>
                <w:bCs/>
                <w:smallCaps/>
                <w:sz w:val="20"/>
                <w:szCs w:val="20"/>
                <w:lang w:val="hr-HR"/>
              </w:rPr>
              <w:t>Ciljevi kolegija:</w:t>
            </w:r>
            <w:r w:rsidRPr="00675AB5">
              <w:rPr>
                <w:sz w:val="20"/>
                <w:szCs w:val="20"/>
                <w:lang w:val="hr-HR"/>
              </w:rPr>
              <w:t xml:space="preserve"> </w:t>
            </w:r>
          </w:p>
          <w:p w:rsidR="00EB7C15" w:rsidRPr="00675AB5" w:rsidRDefault="00EB7C15" w:rsidP="00D43DBC">
            <w:pPr>
              <w:spacing w:line="276" w:lineRule="auto"/>
              <w:jc w:val="both"/>
              <w:rPr>
                <w:bCs/>
                <w:sz w:val="20"/>
                <w:szCs w:val="20"/>
                <w:lang w:val="hr-HR"/>
              </w:rPr>
            </w:pPr>
            <w:r w:rsidRPr="00675AB5">
              <w:rPr>
                <w:bCs/>
                <w:sz w:val="20"/>
                <w:szCs w:val="20"/>
                <w:lang w:val="hr-HR"/>
              </w:rPr>
              <w:t>Ciljevi kolegija su osposobljavanje studenata za razumijevanje i znanstveno proučavanje rimskih vjerskih dužnosnika/-ica. Brojna epigrafička građa svjedoči o njihovim kultnim aktivnostima na prostoru rimske provincije Dalmacije koja će se proučavati epigrafsko-onomastičkom analizom, te tipološko-komparativnom analizom sa ostalim spomenicima sa područja zapadnih provincija Rimskog Carstva. Time će se definirati njihove glavne karakteristike, opisati način njihove organizacije, donijeti njihova vjerska hijerarhija, aktivnosti koje su vršili..., što  će nam sve pružiti cjelovitu sliku o njima, ali i pokazati koliku su važnost imali u svakodnevnom  životu rimskih građana i rimske zajednice.</w:t>
            </w:r>
          </w:p>
        </w:tc>
      </w:tr>
      <w:tr w:rsidR="00EB7C15" w:rsidRPr="00675AB5" w:rsidTr="00D43DBC">
        <w:trPr>
          <w:trHeight w:val="281"/>
        </w:trPr>
        <w:tc>
          <w:tcPr>
            <w:tcW w:w="5433" w:type="dxa"/>
            <w:gridSpan w:val="9"/>
          </w:tcPr>
          <w:p w:rsidR="00EB7C15" w:rsidRPr="00675AB5" w:rsidRDefault="00EB7C15" w:rsidP="00D43DBC">
            <w:pPr>
              <w:spacing w:line="276" w:lineRule="auto"/>
              <w:rPr>
                <w:b/>
                <w:bCs/>
                <w:smallCaps/>
                <w:sz w:val="20"/>
                <w:szCs w:val="20"/>
                <w:lang w:val="hr-HR"/>
              </w:rPr>
            </w:pPr>
            <w:r w:rsidRPr="00675AB5">
              <w:rPr>
                <w:b/>
                <w:bCs/>
                <w:smallCaps/>
                <w:sz w:val="20"/>
                <w:szCs w:val="20"/>
                <w:lang w:val="hr-HR"/>
              </w:rPr>
              <w:t>Vodič:</w:t>
            </w:r>
          </w:p>
        </w:tc>
        <w:tc>
          <w:tcPr>
            <w:tcW w:w="1709" w:type="dxa"/>
            <w:gridSpan w:val="3"/>
            <w:vAlign w:val="center"/>
          </w:tcPr>
          <w:p w:rsidR="00EB7C15" w:rsidRPr="00675AB5" w:rsidRDefault="00EB7C15" w:rsidP="00D43DBC">
            <w:pPr>
              <w:spacing w:line="276" w:lineRule="auto"/>
              <w:jc w:val="center"/>
              <w:rPr>
                <w:sz w:val="20"/>
                <w:szCs w:val="20"/>
                <w:lang w:val="hr-HR"/>
              </w:rPr>
            </w:pPr>
            <w:r w:rsidRPr="00675AB5">
              <w:rPr>
                <w:sz w:val="20"/>
                <w:szCs w:val="20"/>
                <w:lang w:val="hr-HR"/>
              </w:rPr>
              <w:t>Zimski semestar</w:t>
            </w:r>
          </w:p>
        </w:tc>
        <w:tc>
          <w:tcPr>
            <w:tcW w:w="2038" w:type="dxa"/>
            <w:gridSpan w:val="2"/>
            <w:vAlign w:val="center"/>
          </w:tcPr>
          <w:p w:rsidR="00EB7C15" w:rsidRPr="00675AB5" w:rsidRDefault="00EB7C15" w:rsidP="00D43DBC">
            <w:pPr>
              <w:spacing w:line="276" w:lineRule="auto"/>
              <w:jc w:val="center"/>
              <w:rPr>
                <w:sz w:val="20"/>
                <w:szCs w:val="20"/>
                <w:lang w:val="hr-HR"/>
              </w:rPr>
            </w:pPr>
            <w:r w:rsidRPr="00675AB5">
              <w:rPr>
                <w:sz w:val="20"/>
                <w:szCs w:val="20"/>
                <w:lang w:val="hr-HR"/>
              </w:rPr>
              <w:t>Ljetni semestar</w:t>
            </w:r>
          </w:p>
        </w:tc>
      </w:tr>
      <w:tr w:rsidR="00EB7C15" w:rsidRPr="00675AB5" w:rsidTr="00D43DBC">
        <w:trPr>
          <w:trHeight w:val="278"/>
        </w:trPr>
        <w:tc>
          <w:tcPr>
            <w:tcW w:w="5433" w:type="dxa"/>
            <w:gridSpan w:val="9"/>
          </w:tcPr>
          <w:p w:rsidR="00EB7C15" w:rsidRPr="00675AB5" w:rsidRDefault="00EB7C15" w:rsidP="00D43DBC">
            <w:pPr>
              <w:spacing w:line="276" w:lineRule="auto"/>
              <w:rPr>
                <w:b/>
                <w:bCs/>
                <w:smallCaps/>
                <w:sz w:val="20"/>
                <w:szCs w:val="20"/>
                <w:lang w:val="hr-HR"/>
              </w:rPr>
            </w:pPr>
            <w:r w:rsidRPr="00675AB5">
              <w:rPr>
                <w:b/>
                <w:bCs/>
                <w:smallCaps/>
                <w:sz w:val="20"/>
                <w:szCs w:val="20"/>
                <w:lang w:val="hr-HR"/>
              </w:rPr>
              <w:t>Ects - studentsko opterećenje:</w:t>
            </w:r>
          </w:p>
        </w:tc>
        <w:tc>
          <w:tcPr>
            <w:tcW w:w="1709" w:type="dxa"/>
            <w:gridSpan w:val="3"/>
          </w:tcPr>
          <w:p w:rsidR="00EB7C15" w:rsidRPr="00675AB5" w:rsidRDefault="00EB7C15" w:rsidP="00D43DBC">
            <w:pPr>
              <w:spacing w:line="276" w:lineRule="auto"/>
              <w:jc w:val="center"/>
              <w:rPr>
                <w:bCs/>
                <w:sz w:val="20"/>
                <w:szCs w:val="20"/>
                <w:lang w:val="hr-HR"/>
              </w:rPr>
            </w:pPr>
            <w:r w:rsidRPr="00675AB5">
              <w:rPr>
                <w:bCs/>
                <w:sz w:val="20"/>
                <w:szCs w:val="20"/>
                <w:lang w:val="hr-HR"/>
              </w:rPr>
              <w:t>2</w:t>
            </w:r>
          </w:p>
        </w:tc>
        <w:tc>
          <w:tcPr>
            <w:tcW w:w="2038" w:type="dxa"/>
            <w:gridSpan w:val="2"/>
          </w:tcPr>
          <w:p w:rsidR="00EB7C15" w:rsidRPr="00675AB5" w:rsidRDefault="00EB7C15" w:rsidP="00D43DBC">
            <w:pPr>
              <w:spacing w:line="276" w:lineRule="auto"/>
              <w:rPr>
                <w:b/>
                <w:bCs/>
                <w:sz w:val="20"/>
                <w:szCs w:val="20"/>
                <w:highlight w:val="yellow"/>
                <w:lang w:val="hr-HR"/>
              </w:rPr>
            </w:pPr>
          </w:p>
        </w:tc>
      </w:tr>
      <w:tr w:rsidR="00EB7C15" w:rsidRPr="00675AB5" w:rsidTr="00D43DBC">
        <w:trPr>
          <w:trHeight w:val="278"/>
        </w:trPr>
        <w:tc>
          <w:tcPr>
            <w:tcW w:w="5433" w:type="dxa"/>
            <w:gridSpan w:val="9"/>
          </w:tcPr>
          <w:p w:rsidR="00EB7C15" w:rsidRPr="00675AB5" w:rsidRDefault="00EB7C15" w:rsidP="00D43DBC">
            <w:pPr>
              <w:spacing w:line="276" w:lineRule="auto"/>
              <w:rPr>
                <w:b/>
                <w:bCs/>
                <w:smallCaps/>
                <w:sz w:val="20"/>
                <w:szCs w:val="20"/>
                <w:lang w:val="hr-HR"/>
              </w:rPr>
            </w:pPr>
            <w:r w:rsidRPr="00675AB5">
              <w:rPr>
                <w:b/>
                <w:bCs/>
                <w:smallCaps/>
                <w:sz w:val="20"/>
                <w:szCs w:val="20"/>
                <w:lang w:val="hr-HR"/>
              </w:rPr>
              <w:t>Tjedana po semestru:</w:t>
            </w:r>
          </w:p>
        </w:tc>
        <w:tc>
          <w:tcPr>
            <w:tcW w:w="1709" w:type="dxa"/>
            <w:gridSpan w:val="3"/>
          </w:tcPr>
          <w:p w:rsidR="00EB7C15" w:rsidRPr="00675AB5" w:rsidRDefault="00EB7C15" w:rsidP="00D43DBC">
            <w:pPr>
              <w:spacing w:line="276" w:lineRule="auto"/>
              <w:jc w:val="center"/>
              <w:rPr>
                <w:bCs/>
                <w:sz w:val="20"/>
                <w:szCs w:val="20"/>
                <w:lang w:val="hr-HR"/>
              </w:rPr>
            </w:pPr>
            <w:r w:rsidRPr="00675AB5">
              <w:rPr>
                <w:bCs/>
                <w:sz w:val="20"/>
                <w:szCs w:val="20"/>
                <w:lang w:val="hr-HR"/>
              </w:rPr>
              <w:t>15</w:t>
            </w:r>
          </w:p>
        </w:tc>
        <w:tc>
          <w:tcPr>
            <w:tcW w:w="2038" w:type="dxa"/>
            <w:gridSpan w:val="2"/>
          </w:tcPr>
          <w:p w:rsidR="00EB7C15" w:rsidRPr="00675AB5" w:rsidRDefault="00EB7C15" w:rsidP="00D43DBC">
            <w:pPr>
              <w:spacing w:line="276" w:lineRule="auto"/>
              <w:jc w:val="center"/>
              <w:rPr>
                <w:b/>
                <w:bCs/>
                <w:sz w:val="20"/>
                <w:szCs w:val="20"/>
                <w:highlight w:val="yellow"/>
                <w:lang w:val="hr-HR"/>
              </w:rPr>
            </w:pPr>
          </w:p>
        </w:tc>
      </w:tr>
      <w:tr w:rsidR="00EB7C15" w:rsidRPr="00675AB5" w:rsidTr="00D43DBC">
        <w:trPr>
          <w:cantSplit/>
          <w:trHeight w:val="278"/>
        </w:trPr>
        <w:tc>
          <w:tcPr>
            <w:tcW w:w="2705" w:type="dxa"/>
            <w:gridSpan w:val="4"/>
            <w:vMerge w:val="restart"/>
          </w:tcPr>
          <w:p w:rsidR="00EB7C15" w:rsidRPr="00675AB5" w:rsidRDefault="00EB7C15" w:rsidP="00D43DBC">
            <w:pPr>
              <w:spacing w:line="276" w:lineRule="auto"/>
              <w:rPr>
                <w:sz w:val="20"/>
                <w:szCs w:val="20"/>
                <w:lang w:val="hr-HR"/>
              </w:rPr>
            </w:pPr>
            <w:r w:rsidRPr="00675AB5">
              <w:rPr>
                <w:sz w:val="20"/>
                <w:szCs w:val="20"/>
                <w:lang w:val="hr-HR"/>
              </w:rPr>
              <w:t>Sati tjedno:</w:t>
            </w:r>
          </w:p>
        </w:tc>
        <w:tc>
          <w:tcPr>
            <w:tcW w:w="2728" w:type="dxa"/>
            <w:gridSpan w:val="5"/>
          </w:tcPr>
          <w:p w:rsidR="00EB7C15" w:rsidRPr="00675AB5" w:rsidRDefault="00EB7C15" w:rsidP="00D43DBC">
            <w:pPr>
              <w:spacing w:line="276" w:lineRule="auto"/>
              <w:rPr>
                <w:sz w:val="20"/>
                <w:szCs w:val="20"/>
                <w:lang w:val="hr-HR"/>
              </w:rPr>
            </w:pPr>
            <w:r w:rsidRPr="00675AB5">
              <w:rPr>
                <w:sz w:val="20"/>
                <w:szCs w:val="20"/>
                <w:lang w:val="hr-HR"/>
              </w:rPr>
              <w:t>predavanja</w:t>
            </w:r>
          </w:p>
        </w:tc>
        <w:tc>
          <w:tcPr>
            <w:tcW w:w="1709" w:type="dxa"/>
            <w:gridSpan w:val="3"/>
          </w:tcPr>
          <w:p w:rsidR="00EB7C15" w:rsidRPr="00675AB5" w:rsidRDefault="00EB7C15" w:rsidP="00D43DBC">
            <w:pPr>
              <w:spacing w:line="276" w:lineRule="auto"/>
              <w:jc w:val="center"/>
              <w:rPr>
                <w:bCs/>
                <w:sz w:val="20"/>
                <w:szCs w:val="20"/>
                <w:lang w:val="hr-HR"/>
              </w:rPr>
            </w:pPr>
            <w:r w:rsidRPr="00675AB5">
              <w:rPr>
                <w:bCs/>
                <w:sz w:val="20"/>
                <w:szCs w:val="20"/>
                <w:lang w:val="hr-HR"/>
              </w:rPr>
              <w:t>1</w:t>
            </w:r>
          </w:p>
        </w:tc>
        <w:tc>
          <w:tcPr>
            <w:tcW w:w="2038" w:type="dxa"/>
            <w:gridSpan w:val="2"/>
          </w:tcPr>
          <w:p w:rsidR="00EB7C15" w:rsidRPr="00675AB5" w:rsidRDefault="00EB7C15" w:rsidP="00D43DBC">
            <w:pPr>
              <w:spacing w:line="276" w:lineRule="auto"/>
              <w:jc w:val="center"/>
              <w:rPr>
                <w:b/>
                <w:bCs/>
                <w:sz w:val="20"/>
                <w:szCs w:val="20"/>
                <w:highlight w:val="yellow"/>
                <w:lang w:val="hr-HR"/>
              </w:rPr>
            </w:pPr>
          </w:p>
        </w:tc>
      </w:tr>
      <w:tr w:rsidR="00EB7C15" w:rsidRPr="00675AB5" w:rsidTr="00D43DBC">
        <w:trPr>
          <w:cantSplit/>
          <w:trHeight w:val="278"/>
        </w:trPr>
        <w:tc>
          <w:tcPr>
            <w:tcW w:w="0" w:type="auto"/>
            <w:gridSpan w:val="4"/>
            <w:vMerge/>
            <w:vAlign w:val="center"/>
          </w:tcPr>
          <w:p w:rsidR="00EB7C15" w:rsidRPr="00675AB5" w:rsidRDefault="00EB7C15" w:rsidP="00D43DBC">
            <w:pPr>
              <w:spacing w:line="276" w:lineRule="auto"/>
              <w:rPr>
                <w:sz w:val="20"/>
                <w:szCs w:val="20"/>
                <w:lang w:val="hr-HR"/>
              </w:rPr>
            </w:pPr>
          </w:p>
        </w:tc>
        <w:tc>
          <w:tcPr>
            <w:tcW w:w="2728" w:type="dxa"/>
            <w:gridSpan w:val="5"/>
          </w:tcPr>
          <w:p w:rsidR="00EB7C15" w:rsidRPr="00675AB5" w:rsidRDefault="00EB7C15" w:rsidP="00D43DBC">
            <w:pPr>
              <w:spacing w:line="276" w:lineRule="auto"/>
              <w:rPr>
                <w:sz w:val="20"/>
                <w:szCs w:val="20"/>
                <w:lang w:val="hr-HR"/>
              </w:rPr>
            </w:pPr>
            <w:r w:rsidRPr="00675AB5">
              <w:rPr>
                <w:sz w:val="20"/>
                <w:szCs w:val="20"/>
                <w:lang w:val="hr-HR"/>
              </w:rPr>
              <w:t>seminari</w:t>
            </w:r>
          </w:p>
        </w:tc>
        <w:tc>
          <w:tcPr>
            <w:tcW w:w="1709" w:type="dxa"/>
            <w:gridSpan w:val="3"/>
          </w:tcPr>
          <w:p w:rsidR="00EB7C15" w:rsidRPr="00675AB5" w:rsidRDefault="00EB7C15" w:rsidP="00D43DBC">
            <w:pPr>
              <w:spacing w:line="276" w:lineRule="auto"/>
              <w:jc w:val="center"/>
              <w:rPr>
                <w:bCs/>
                <w:sz w:val="20"/>
                <w:szCs w:val="20"/>
                <w:lang w:val="hr-HR"/>
              </w:rPr>
            </w:pPr>
          </w:p>
        </w:tc>
        <w:tc>
          <w:tcPr>
            <w:tcW w:w="2038" w:type="dxa"/>
            <w:gridSpan w:val="2"/>
          </w:tcPr>
          <w:p w:rsidR="00EB7C15" w:rsidRPr="00675AB5" w:rsidRDefault="00EB7C15" w:rsidP="00D43DBC">
            <w:pPr>
              <w:spacing w:line="276" w:lineRule="auto"/>
              <w:jc w:val="center"/>
              <w:rPr>
                <w:b/>
                <w:bCs/>
                <w:sz w:val="20"/>
                <w:szCs w:val="20"/>
                <w:highlight w:val="yellow"/>
                <w:lang w:val="hr-HR"/>
              </w:rPr>
            </w:pPr>
          </w:p>
        </w:tc>
      </w:tr>
      <w:tr w:rsidR="00EB7C15" w:rsidRPr="00675AB5" w:rsidTr="00D43DBC">
        <w:trPr>
          <w:cantSplit/>
          <w:trHeight w:val="173"/>
        </w:trPr>
        <w:tc>
          <w:tcPr>
            <w:tcW w:w="0" w:type="auto"/>
            <w:gridSpan w:val="4"/>
            <w:vMerge/>
            <w:vAlign w:val="center"/>
          </w:tcPr>
          <w:p w:rsidR="00EB7C15" w:rsidRPr="00675AB5" w:rsidRDefault="00EB7C15" w:rsidP="00D43DBC">
            <w:pPr>
              <w:spacing w:line="276" w:lineRule="auto"/>
              <w:rPr>
                <w:sz w:val="20"/>
                <w:szCs w:val="20"/>
                <w:lang w:val="hr-HR"/>
              </w:rPr>
            </w:pPr>
          </w:p>
        </w:tc>
        <w:tc>
          <w:tcPr>
            <w:tcW w:w="2728" w:type="dxa"/>
            <w:gridSpan w:val="5"/>
          </w:tcPr>
          <w:p w:rsidR="00EB7C15" w:rsidRPr="00675AB5" w:rsidRDefault="00EB7C15" w:rsidP="00D43DBC">
            <w:pPr>
              <w:spacing w:line="276" w:lineRule="auto"/>
              <w:rPr>
                <w:sz w:val="20"/>
                <w:szCs w:val="20"/>
                <w:lang w:val="hr-HR"/>
              </w:rPr>
            </w:pPr>
            <w:r w:rsidRPr="00675AB5">
              <w:rPr>
                <w:sz w:val="20"/>
                <w:szCs w:val="20"/>
                <w:lang w:val="hr-HR"/>
              </w:rPr>
              <w:t>vježbe</w:t>
            </w:r>
          </w:p>
        </w:tc>
        <w:tc>
          <w:tcPr>
            <w:tcW w:w="1709" w:type="dxa"/>
            <w:gridSpan w:val="3"/>
          </w:tcPr>
          <w:p w:rsidR="00EB7C15" w:rsidRPr="00675AB5" w:rsidRDefault="00EB7C15" w:rsidP="00D43DBC">
            <w:pPr>
              <w:spacing w:line="276" w:lineRule="auto"/>
              <w:jc w:val="center"/>
              <w:rPr>
                <w:bCs/>
                <w:sz w:val="20"/>
                <w:szCs w:val="20"/>
                <w:lang w:val="hr-HR"/>
              </w:rPr>
            </w:pPr>
          </w:p>
        </w:tc>
        <w:tc>
          <w:tcPr>
            <w:tcW w:w="2038" w:type="dxa"/>
            <w:gridSpan w:val="2"/>
          </w:tcPr>
          <w:p w:rsidR="00EB7C15" w:rsidRPr="00675AB5" w:rsidRDefault="00EB7C15" w:rsidP="00D43DBC">
            <w:pPr>
              <w:spacing w:line="276" w:lineRule="auto"/>
              <w:rPr>
                <w:sz w:val="20"/>
                <w:szCs w:val="20"/>
                <w:highlight w:val="yellow"/>
                <w:lang w:val="hr-HR"/>
              </w:rPr>
            </w:pPr>
          </w:p>
        </w:tc>
      </w:tr>
      <w:tr w:rsidR="00EB7C15" w:rsidRPr="00675AB5" w:rsidTr="00D43DBC">
        <w:trPr>
          <w:cantSplit/>
          <w:trHeight w:val="172"/>
        </w:trPr>
        <w:tc>
          <w:tcPr>
            <w:tcW w:w="0" w:type="auto"/>
            <w:gridSpan w:val="4"/>
            <w:vMerge/>
            <w:vAlign w:val="center"/>
          </w:tcPr>
          <w:p w:rsidR="00EB7C15" w:rsidRPr="00675AB5" w:rsidRDefault="00EB7C15" w:rsidP="00D43DBC">
            <w:pPr>
              <w:spacing w:line="276" w:lineRule="auto"/>
              <w:rPr>
                <w:sz w:val="20"/>
                <w:szCs w:val="20"/>
                <w:lang w:val="hr-HR"/>
              </w:rPr>
            </w:pPr>
          </w:p>
        </w:tc>
        <w:tc>
          <w:tcPr>
            <w:tcW w:w="2728" w:type="dxa"/>
            <w:gridSpan w:val="5"/>
          </w:tcPr>
          <w:p w:rsidR="00EB7C15" w:rsidRPr="00675AB5" w:rsidRDefault="00EB7C15" w:rsidP="00D43DBC">
            <w:pPr>
              <w:spacing w:line="276" w:lineRule="auto"/>
              <w:rPr>
                <w:sz w:val="20"/>
                <w:szCs w:val="20"/>
                <w:lang w:val="hr-HR"/>
              </w:rPr>
            </w:pPr>
            <w:r w:rsidRPr="00675AB5">
              <w:rPr>
                <w:sz w:val="20"/>
                <w:szCs w:val="20"/>
                <w:lang w:val="hr-HR"/>
              </w:rPr>
              <w:t>mentorski rad</w:t>
            </w:r>
          </w:p>
        </w:tc>
        <w:tc>
          <w:tcPr>
            <w:tcW w:w="1709" w:type="dxa"/>
            <w:gridSpan w:val="3"/>
          </w:tcPr>
          <w:p w:rsidR="00EB7C15" w:rsidRPr="00675AB5" w:rsidRDefault="00EB7C15" w:rsidP="00D43DBC">
            <w:pPr>
              <w:spacing w:line="276" w:lineRule="auto"/>
              <w:jc w:val="center"/>
              <w:rPr>
                <w:bCs/>
                <w:sz w:val="20"/>
                <w:szCs w:val="20"/>
                <w:lang w:val="hr-HR"/>
              </w:rPr>
            </w:pPr>
          </w:p>
        </w:tc>
        <w:tc>
          <w:tcPr>
            <w:tcW w:w="2038" w:type="dxa"/>
            <w:gridSpan w:val="2"/>
          </w:tcPr>
          <w:p w:rsidR="00EB7C15" w:rsidRPr="00675AB5" w:rsidRDefault="00EB7C15" w:rsidP="00D43DBC">
            <w:pPr>
              <w:spacing w:line="276" w:lineRule="auto"/>
              <w:jc w:val="center"/>
              <w:rPr>
                <w:b/>
                <w:bCs/>
                <w:sz w:val="20"/>
                <w:szCs w:val="20"/>
                <w:highlight w:val="yellow"/>
                <w:lang w:val="hr-HR"/>
              </w:rPr>
            </w:pPr>
          </w:p>
        </w:tc>
      </w:tr>
      <w:tr w:rsidR="00EB7C15" w:rsidRPr="00675AB5" w:rsidTr="00D43DBC">
        <w:trPr>
          <w:cantSplit/>
          <w:trHeight w:val="278"/>
        </w:trPr>
        <w:tc>
          <w:tcPr>
            <w:tcW w:w="2705" w:type="dxa"/>
            <w:gridSpan w:val="4"/>
            <w:vMerge w:val="restart"/>
          </w:tcPr>
          <w:p w:rsidR="00EB7C15" w:rsidRPr="00675AB5" w:rsidRDefault="00EB7C15" w:rsidP="00D43DBC">
            <w:pPr>
              <w:spacing w:line="276" w:lineRule="auto"/>
              <w:rPr>
                <w:sz w:val="20"/>
                <w:szCs w:val="20"/>
                <w:lang w:val="hr-HR"/>
              </w:rPr>
            </w:pPr>
            <w:r w:rsidRPr="00675AB5">
              <w:rPr>
                <w:sz w:val="20"/>
                <w:szCs w:val="20"/>
                <w:lang w:val="hr-HR"/>
              </w:rPr>
              <w:t>Ukupno sati:</w:t>
            </w:r>
          </w:p>
        </w:tc>
        <w:tc>
          <w:tcPr>
            <w:tcW w:w="2728" w:type="dxa"/>
            <w:gridSpan w:val="5"/>
          </w:tcPr>
          <w:p w:rsidR="00EB7C15" w:rsidRPr="00675AB5" w:rsidRDefault="00EB7C15" w:rsidP="00D43DBC">
            <w:pPr>
              <w:spacing w:line="276" w:lineRule="auto"/>
              <w:rPr>
                <w:sz w:val="20"/>
                <w:szCs w:val="20"/>
                <w:lang w:val="hr-HR"/>
              </w:rPr>
            </w:pPr>
            <w:r w:rsidRPr="00675AB5">
              <w:rPr>
                <w:sz w:val="20"/>
                <w:szCs w:val="20"/>
                <w:lang w:val="hr-HR"/>
              </w:rPr>
              <w:t>predavanja</w:t>
            </w:r>
          </w:p>
        </w:tc>
        <w:tc>
          <w:tcPr>
            <w:tcW w:w="1709" w:type="dxa"/>
            <w:gridSpan w:val="3"/>
          </w:tcPr>
          <w:p w:rsidR="00EB7C15" w:rsidRPr="00675AB5" w:rsidRDefault="00EB7C15" w:rsidP="00D43DBC">
            <w:pPr>
              <w:spacing w:line="276" w:lineRule="auto"/>
              <w:jc w:val="center"/>
              <w:rPr>
                <w:bCs/>
                <w:sz w:val="20"/>
                <w:szCs w:val="20"/>
                <w:lang w:val="hr-HR"/>
              </w:rPr>
            </w:pPr>
            <w:r w:rsidRPr="00675AB5">
              <w:rPr>
                <w:bCs/>
                <w:sz w:val="20"/>
                <w:szCs w:val="20"/>
                <w:lang w:val="hr-HR"/>
              </w:rPr>
              <w:t>15</w:t>
            </w:r>
          </w:p>
        </w:tc>
        <w:tc>
          <w:tcPr>
            <w:tcW w:w="2038" w:type="dxa"/>
            <w:gridSpan w:val="2"/>
          </w:tcPr>
          <w:p w:rsidR="00EB7C15" w:rsidRPr="00675AB5" w:rsidRDefault="00EB7C15" w:rsidP="00D43DBC">
            <w:pPr>
              <w:spacing w:line="276" w:lineRule="auto"/>
              <w:rPr>
                <w:b/>
                <w:bCs/>
                <w:sz w:val="20"/>
                <w:szCs w:val="20"/>
                <w:highlight w:val="yellow"/>
                <w:lang w:val="hr-HR"/>
              </w:rPr>
            </w:pPr>
          </w:p>
        </w:tc>
      </w:tr>
      <w:tr w:rsidR="00EB7C15" w:rsidRPr="00675AB5" w:rsidTr="00D43DBC">
        <w:trPr>
          <w:cantSplit/>
          <w:trHeight w:val="278"/>
        </w:trPr>
        <w:tc>
          <w:tcPr>
            <w:tcW w:w="0" w:type="auto"/>
            <w:gridSpan w:val="4"/>
            <w:vMerge/>
            <w:vAlign w:val="center"/>
          </w:tcPr>
          <w:p w:rsidR="00EB7C15" w:rsidRPr="00675AB5" w:rsidRDefault="00EB7C15" w:rsidP="00D43DBC">
            <w:pPr>
              <w:spacing w:line="276" w:lineRule="auto"/>
              <w:rPr>
                <w:sz w:val="20"/>
                <w:szCs w:val="20"/>
                <w:lang w:val="hr-HR"/>
              </w:rPr>
            </w:pPr>
          </w:p>
        </w:tc>
        <w:tc>
          <w:tcPr>
            <w:tcW w:w="2728" w:type="dxa"/>
            <w:gridSpan w:val="5"/>
          </w:tcPr>
          <w:p w:rsidR="00EB7C15" w:rsidRPr="00675AB5" w:rsidRDefault="00EB7C15" w:rsidP="00D43DBC">
            <w:pPr>
              <w:spacing w:line="276" w:lineRule="auto"/>
              <w:rPr>
                <w:sz w:val="20"/>
                <w:szCs w:val="20"/>
                <w:lang w:val="hr-HR"/>
              </w:rPr>
            </w:pPr>
            <w:r w:rsidRPr="00675AB5">
              <w:rPr>
                <w:sz w:val="20"/>
                <w:szCs w:val="20"/>
                <w:lang w:val="hr-HR"/>
              </w:rPr>
              <w:t>seminari</w:t>
            </w:r>
          </w:p>
        </w:tc>
        <w:tc>
          <w:tcPr>
            <w:tcW w:w="1709" w:type="dxa"/>
            <w:gridSpan w:val="3"/>
          </w:tcPr>
          <w:p w:rsidR="00EB7C15" w:rsidRPr="00675AB5" w:rsidRDefault="00EB7C15" w:rsidP="00D43DBC">
            <w:pPr>
              <w:spacing w:line="276" w:lineRule="auto"/>
              <w:jc w:val="center"/>
              <w:rPr>
                <w:bCs/>
                <w:sz w:val="20"/>
                <w:szCs w:val="20"/>
                <w:lang w:val="hr-HR"/>
              </w:rPr>
            </w:pPr>
          </w:p>
        </w:tc>
        <w:tc>
          <w:tcPr>
            <w:tcW w:w="2038" w:type="dxa"/>
            <w:gridSpan w:val="2"/>
          </w:tcPr>
          <w:p w:rsidR="00EB7C15" w:rsidRPr="00675AB5" w:rsidRDefault="00EB7C15" w:rsidP="00D43DBC">
            <w:pPr>
              <w:spacing w:line="276" w:lineRule="auto"/>
              <w:rPr>
                <w:b/>
                <w:bCs/>
                <w:sz w:val="20"/>
                <w:szCs w:val="20"/>
                <w:highlight w:val="yellow"/>
                <w:lang w:val="hr-HR"/>
              </w:rPr>
            </w:pPr>
          </w:p>
        </w:tc>
      </w:tr>
      <w:tr w:rsidR="00EB7C15" w:rsidRPr="00675AB5" w:rsidTr="00D43DBC">
        <w:trPr>
          <w:cantSplit/>
          <w:trHeight w:val="173"/>
        </w:trPr>
        <w:tc>
          <w:tcPr>
            <w:tcW w:w="0" w:type="auto"/>
            <w:gridSpan w:val="4"/>
            <w:vMerge/>
            <w:vAlign w:val="center"/>
          </w:tcPr>
          <w:p w:rsidR="00EB7C15" w:rsidRPr="00675AB5" w:rsidRDefault="00EB7C15" w:rsidP="00D43DBC">
            <w:pPr>
              <w:spacing w:line="276" w:lineRule="auto"/>
              <w:rPr>
                <w:sz w:val="20"/>
                <w:szCs w:val="20"/>
                <w:lang w:val="hr-HR"/>
              </w:rPr>
            </w:pPr>
          </w:p>
        </w:tc>
        <w:tc>
          <w:tcPr>
            <w:tcW w:w="2728" w:type="dxa"/>
            <w:gridSpan w:val="5"/>
          </w:tcPr>
          <w:p w:rsidR="00EB7C15" w:rsidRPr="00675AB5" w:rsidRDefault="00EB7C15" w:rsidP="00D43DBC">
            <w:pPr>
              <w:spacing w:line="276" w:lineRule="auto"/>
              <w:rPr>
                <w:sz w:val="20"/>
                <w:szCs w:val="20"/>
                <w:lang w:val="hr-HR"/>
              </w:rPr>
            </w:pPr>
            <w:r w:rsidRPr="00675AB5">
              <w:rPr>
                <w:sz w:val="20"/>
                <w:szCs w:val="20"/>
                <w:lang w:val="hr-HR"/>
              </w:rPr>
              <w:t>vježbe</w:t>
            </w:r>
          </w:p>
        </w:tc>
        <w:tc>
          <w:tcPr>
            <w:tcW w:w="1709" w:type="dxa"/>
            <w:gridSpan w:val="3"/>
          </w:tcPr>
          <w:p w:rsidR="00EB7C15" w:rsidRPr="00675AB5" w:rsidRDefault="00EB7C15" w:rsidP="00D43DBC">
            <w:pPr>
              <w:spacing w:line="276" w:lineRule="auto"/>
              <w:jc w:val="center"/>
              <w:rPr>
                <w:sz w:val="20"/>
                <w:szCs w:val="20"/>
                <w:lang w:val="hr-HR"/>
              </w:rPr>
            </w:pPr>
          </w:p>
        </w:tc>
        <w:tc>
          <w:tcPr>
            <w:tcW w:w="2038" w:type="dxa"/>
            <w:gridSpan w:val="2"/>
          </w:tcPr>
          <w:p w:rsidR="00EB7C15" w:rsidRPr="00675AB5" w:rsidRDefault="00EB7C15" w:rsidP="00D43DBC">
            <w:pPr>
              <w:spacing w:line="276" w:lineRule="auto"/>
              <w:rPr>
                <w:sz w:val="20"/>
                <w:szCs w:val="20"/>
                <w:highlight w:val="yellow"/>
                <w:lang w:val="hr-HR"/>
              </w:rPr>
            </w:pPr>
          </w:p>
        </w:tc>
      </w:tr>
      <w:tr w:rsidR="00EB7C15" w:rsidRPr="00675AB5" w:rsidTr="00D43DBC">
        <w:trPr>
          <w:cantSplit/>
          <w:trHeight w:val="172"/>
        </w:trPr>
        <w:tc>
          <w:tcPr>
            <w:tcW w:w="0" w:type="auto"/>
            <w:gridSpan w:val="4"/>
            <w:vMerge/>
            <w:vAlign w:val="center"/>
          </w:tcPr>
          <w:p w:rsidR="00EB7C15" w:rsidRPr="00675AB5" w:rsidRDefault="00EB7C15" w:rsidP="00D43DBC">
            <w:pPr>
              <w:spacing w:line="276" w:lineRule="auto"/>
              <w:rPr>
                <w:sz w:val="20"/>
                <w:szCs w:val="20"/>
                <w:lang w:val="hr-HR"/>
              </w:rPr>
            </w:pPr>
          </w:p>
        </w:tc>
        <w:tc>
          <w:tcPr>
            <w:tcW w:w="2728" w:type="dxa"/>
            <w:gridSpan w:val="5"/>
          </w:tcPr>
          <w:p w:rsidR="00EB7C15" w:rsidRPr="00675AB5" w:rsidRDefault="00EB7C15" w:rsidP="00D43DBC">
            <w:pPr>
              <w:spacing w:line="276" w:lineRule="auto"/>
              <w:rPr>
                <w:sz w:val="20"/>
                <w:szCs w:val="20"/>
                <w:lang w:val="hr-HR"/>
              </w:rPr>
            </w:pPr>
            <w:r w:rsidRPr="00675AB5">
              <w:rPr>
                <w:sz w:val="20"/>
                <w:szCs w:val="20"/>
                <w:lang w:val="hr-HR"/>
              </w:rPr>
              <w:t>mentorski rad</w:t>
            </w:r>
          </w:p>
        </w:tc>
        <w:tc>
          <w:tcPr>
            <w:tcW w:w="1709" w:type="dxa"/>
            <w:gridSpan w:val="3"/>
          </w:tcPr>
          <w:p w:rsidR="00EB7C15" w:rsidRPr="00675AB5" w:rsidRDefault="00EB7C15" w:rsidP="00D43DBC">
            <w:pPr>
              <w:spacing w:line="276" w:lineRule="auto"/>
              <w:jc w:val="center"/>
              <w:rPr>
                <w:sz w:val="20"/>
                <w:szCs w:val="20"/>
                <w:lang w:val="hr-HR"/>
              </w:rPr>
            </w:pPr>
          </w:p>
        </w:tc>
        <w:tc>
          <w:tcPr>
            <w:tcW w:w="2038" w:type="dxa"/>
            <w:gridSpan w:val="2"/>
          </w:tcPr>
          <w:p w:rsidR="00EB7C15" w:rsidRPr="00675AB5" w:rsidRDefault="00EB7C15" w:rsidP="00D43DBC">
            <w:pPr>
              <w:spacing w:line="276" w:lineRule="auto"/>
              <w:rPr>
                <w:b/>
                <w:bCs/>
                <w:sz w:val="20"/>
                <w:szCs w:val="20"/>
                <w:highlight w:val="yellow"/>
                <w:lang w:val="hr-HR"/>
              </w:rPr>
            </w:pPr>
          </w:p>
        </w:tc>
      </w:tr>
      <w:tr w:rsidR="00EB7C15" w:rsidRPr="0066173E" w:rsidTr="00D43DBC">
        <w:trPr>
          <w:cantSplit/>
        </w:trPr>
        <w:tc>
          <w:tcPr>
            <w:tcW w:w="5433" w:type="dxa"/>
            <w:gridSpan w:val="9"/>
          </w:tcPr>
          <w:p w:rsidR="00EB7C15" w:rsidRPr="00675AB5" w:rsidRDefault="00EB7C15" w:rsidP="00D43DBC">
            <w:pPr>
              <w:spacing w:line="276" w:lineRule="auto"/>
              <w:jc w:val="center"/>
              <w:rPr>
                <w:sz w:val="20"/>
                <w:szCs w:val="20"/>
                <w:lang w:val="hr-HR"/>
              </w:rPr>
            </w:pPr>
            <w:r w:rsidRPr="00675AB5">
              <w:rPr>
                <w:sz w:val="20"/>
                <w:szCs w:val="20"/>
                <w:lang w:val="hr-HR"/>
              </w:rPr>
              <w:t>Ukupan broj dana terenske nastave:</w:t>
            </w:r>
          </w:p>
        </w:tc>
        <w:tc>
          <w:tcPr>
            <w:tcW w:w="1709" w:type="dxa"/>
            <w:gridSpan w:val="3"/>
          </w:tcPr>
          <w:p w:rsidR="00EB7C15" w:rsidRPr="00675AB5" w:rsidRDefault="00EB7C15" w:rsidP="00D43DBC">
            <w:pPr>
              <w:spacing w:line="276" w:lineRule="auto"/>
              <w:jc w:val="center"/>
              <w:rPr>
                <w:sz w:val="20"/>
                <w:szCs w:val="20"/>
                <w:lang w:val="hr-HR"/>
              </w:rPr>
            </w:pPr>
          </w:p>
        </w:tc>
        <w:tc>
          <w:tcPr>
            <w:tcW w:w="2038" w:type="dxa"/>
            <w:gridSpan w:val="2"/>
          </w:tcPr>
          <w:p w:rsidR="00EB7C15" w:rsidRPr="00675AB5" w:rsidRDefault="00EB7C15" w:rsidP="00D43DBC">
            <w:pPr>
              <w:spacing w:line="276" w:lineRule="auto"/>
              <w:rPr>
                <w:sz w:val="20"/>
                <w:szCs w:val="20"/>
                <w:lang w:val="hr-HR"/>
              </w:rPr>
            </w:pPr>
          </w:p>
        </w:tc>
      </w:tr>
      <w:tr w:rsidR="00EB7C15" w:rsidRPr="00675AB5" w:rsidTr="00D43DBC">
        <w:tc>
          <w:tcPr>
            <w:tcW w:w="9180" w:type="dxa"/>
            <w:gridSpan w:val="14"/>
          </w:tcPr>
          <w:p w:rsidR="00EB7C15" w:rsidRPr="00675AB5" w:rsidRDefault="00EB7C15" w:rsidP="00D43DBC">
            <w:pPr>
              <w:spacing w:line="276" w:lineRule="auto"/>
              <w:rPr>
                <w:b/>
                <w:bCs/>
                <w:smallCaps/>
                <w:sz w:val="20"/>
                <w:szCs w:val="20"/>
                <w:lang w:val="hr-HR"/>
              </w:rPr>
            </w:pPr>
            <w:r w:rsidRPr="00675AB5">
              <w:rPr>
                <w:b/>
                <w:bCs/>
                <w:smallCaps/>
                <w:sz w:val="20"/>
                <w:szCs w:val="20"/>
                <w:lang w:val="hr-HR"/>
              </w:rPr>
              <w:t>Nastavne metode:</w:t>
            </w:r>
          </w:p>
        </w:tc>
      </w:tr>
      <w:tr w:rsidR="00EB7C15" w:rsidRPr="00675AB5" w:rsidTr="00D43DBC">
        <w:trPr>
          <w:cantSplit/>
        </w:trPr>
        <w:tc>
          <w:tcPr>
            <w:tcW w:w="1495" w:type="dxa"/>
          </w:tcPr>
          <w:p w:rsidR="00EB7C15" w:rsidRPr="00675AB5" w:rsidRDefault="00EB7C15" w:rsidP="00D43DBC">
            <w:pPr>
              <w:spacing w:line="276" w:lineRule="auto"/>
              <w:jc w:val="center"/>
              <w:rPr>
                <w:sz w:val="20"/>
                <w:szCs w:val="20"/>
                <w:lang w:val="hr-HR"/>
              </w:rPr>
            </w:pPr>
            <w:r w:rsidRPr="00675AB5">
              <w:rPr>
                <w:sz w:val="20"/>
                <w:szCs w:val="20"/>
                <w:lang w:val="hr-HR"/>
              </w:rPr>
              <w:t>predavanja</w:t>
            </w:r>
          </w:p>
        </w:tc>
        <w:tc>
          <w:tcPr>
            <w:tcW w:w="1457" w:type="dxa"/>
            <w:gridSpan w:val="4"/>
          </w:tcPr>
          <w:p w:rsidR="00EB7C15" w:rsidRPr="00675AB5" w:rsidRDefault="00EB7C15" w:rsidP="00D43DBC">
            <w:pPr>
              <w:spacing w:line="276" w:lineRule="auto"/>
              <w:jc w:val="center"/>
              <w:rPr>
                <w:b/>
                <w:bCs/>
                <w:sz w:val="20"/>
                <w:szCs w:val="20"/>
                <w:lang w:val="hr-HR"/>
              </w:rPr>
            </w:pPr>
          </w:p>
        </w:tc>
        <w:tc>
          <w:tcPr>
            <w:tcW w:w="1495" w:type="dxa"/>
            <w:gridSpan w:val="3"/>
          </w:tcPr>
          <w:p w:rsidR="00EB7C15" w:rsidRPr="00675AB5" w:rsidRDefault="00EB7C15" w:rsidP="00D43DBC">
            <w:pPr>
              <w:spacing w:line="276" w:lineRule="auto"/>
              <w:jc w:val="center"/>
              <w:rPr>
                <w:sz w:val="20"/>
                <w:szCs w:val="20"/>
                <w:lang w:val="hr-HR"/>
              </w:rPr>
            </w:pPr>
          </w:p>
        </w:tc>
        <w:tc>
          <w:tcPr>
            <w:tcW w:w="1473" w:type="dxa"/>
            <w:gridSpan w:val="2"/>
          </w:tcPr>
          <w:p w:rsidR="00EB7C15" w:rsidRPr="00675AB5" w:rsidRDefault="00EB7C15" w:rsidP="00D43DBC">
            <w:pPr>
              <w:spacing w:line="276" w:lineRule="auto"/>
              <w:jc w:val="center"/>
              <w:rPr>
                <w:sz w:val="20"/>
                <w:szCs w:val="20"/>
                <w:lang w:val="hr-HR"/>
              </w:rPr>
            </w:pPr>
          </w:p>
        </w:tc>
        <w:tc>
          <w:tcPr>
            <w:tcW w:w="1446" w:type="dxa"/>
            <w:gridSpan w:val="3"/>
          </w:tcPr>
          <w:p w:rsidR="00EB7C15" w:rsidRPr="00675AB5" w:rsidRDefault="00EB7C15" w:rsidP="00D43DBC">
            <w:pPr>
              <w:spacing w:line="276" w:lineRule="auto"/>
              <w:jc w:val="center"/>
              <w:rPr>
                <w:sz w:val="20"/>
                <w:szCs w:val="20"/>
                <w:lang w:val="hr-HR"/>
              </w:rPr>
            </w:pPr>
          </w:p>
        </w:tc>
        <w:tc>
          <w:tcPr>
            <w:tcW w:w="1814" w:type="dxa"/>
          </w:tcPr>
          <w:p w:rsidR="00EB7C15" w:rsidRPr="00675AB5" w:rsidRDefault="00EB7C15" w:rsidP="00D43DBC">
            <w:pPr>
              <w:spacing w:line="276" w:lineRule="auto"/>
              <w:jc w:val="center"/>
              <w:rPr>
                <w:sz w:val="20"/>
                <w:szCs w:val="20"/>
                <w:lang w:val="hr-HR"/>
              </w:rPr>
            </w:pPr>
          </w:p>
        </w:tc>
      </w:tr>
      <w:tr w:rsidR="00EB7C15" w:rsidRPr="00675AB5" w:rsidTr="00D43DBC">
        <w:tc>
          <w:tcPr>
            <w:tcW w:w="9180" w:type="dxa"/>
            <w:gridSpan w:val="14"/>
          </w:tcPr>
          <w:p w:rsidR="00EB7C15" w:rsidRPr="00675AB5" w:rsidRDefault="00EB7C15" w:rsidP="00D43DBC">
            <w:pPr>
              <w:spacing w:line="276" w:lineRule="auto"/>
              <w:rPr>
                <w:b/>
                <w:bCs/>
                <w:smallCaps/>
                <w:sz w:val="20"/>
                <w:szCs w:val="20"/>
                <w:lang w:val="hr-HR"/>
              </w:rPr>
            </w:pPr>
            <w:r w:rsidRPr="00675AB5">
              <w:rPr>
                <w:b/>
                <w:bCs/>
                <w:smallCaps/>
                <w:sz w:val="20"/>
                <w:szCs w:val="20"/>
                <w:lang w:val="hr-HR"/>
              </w:rPr>
              <w:t>Nastavna pomagala:</w:t>
            </w:r>
          </w:p>
        </w:tc>
      </w:tr>
      <w:tr w:rsidR="00EB7C15" w:rsidRPr="00675AB5" w:rsidTr="00D43DBC">
        <w:trPr>
          <w:cantSplit/>
        </w:trPr>
        <w:tc>
          <w:tcPr>
            <w:tcW w:w="1495" w:type="dxa"/>
          </w:tcPr>
          <w:p w:rsidR="00EB7C15" w:rsidRPr="00675AB5" w:rsidRDefault="00EB7C15" w:rsidP="00D43DBC">
            <w:pPr>
              <w:spacing w:line="276" w:lineRule="auto"/>
              <w:jc w:val="center"/>
              <w:rPr>
                <w:sz w:val="20"/>
                <w:szCs w:val="20"/>
                <w:lang w:val="hr-HR"/>
              </w:rPr>
            </w:pPr>
            <w:r w:rsidRPr="00675AB5">
              <w:rPr>
                <w:sz w:val="20"/>
                <w:szCs w:val="20"/>
                <w:lang w:val="hr-HR"/>
              </w:rPr>
              <w:t>udžbenici</w:t>
            </w:r>
          </w:p>
        </w:tc>
        <w:tc>
          <w:tcPr>
            <w:tcW w:w="1457" w:type="dxa"/>
            <w:gridSpan w:val="4"/>
          </w:tcPr>
          <w:p w:rsidR="00EB7C15" w:rsidRPr="00675AB5" w:rsidRDefault="00EB7C15" w:rsidP="00D43DBC">
            <w:pPr>
              <w:spacing w:line="276" w:lineRule="auto"/>
              <w:jc w:val="center"/>
              <w:rPr>
                <w:sz w:val="20"/>
                <w:szCs w:val="20"/>
                <w:lang w:val="hr-HR"/>
              </w:rPr>
            </w:pPr>
            <w:r w:rsidRPr="00675AB5">
              <w:rPr>
                <w:sz w:val="20"/>
                <w:szCs w:val="20"/>
                <w:lang w:val="hr-HR"/>
              </w:rPr>
              <w:t>bilješke .pp</w:t>
            </w:r>
          </w:p>
        </w:tc>
        <w:tc>
          <w:tcPr>
            <w:tcW w:w="1495" w:type="dxa"/>
            <w:gridSpan w:val="3"/>
          </w:tcPr>
          <w:p w:rsidR="00EB7C15" w:rsidRPr="00675AB5" w:rsidRDefault="00EB7C15" w:rsidP="00D43DBC">
            <w:pPr>
              <w:spacing w:line="276" w:lineRule="auto"/>
              <w:jc w:val="center"/>
              <w:rPr>
                <w:sz w:val="20"/>
                <w:szCs w:val="20"/>
                <w:lang w:val="hr-HR"/>
              </w:rPr>
            </w:pPr>
            <w:r w:rsidRPr="00675AB5">
              <w:rPr>
                <w:sz w:val="20"/>
                <w:szCs w:val="20"/>
                <w:lang w:val="hr-HR"/>
              </w:rPr>
              <w:t>članci</w:t>
            </w:r>
          </w:p>
        </w:tc>
        <w:tc>
          <w:tcPr>
            <w:tcW w:w="1473" w:type="dxa"/>
            <w:gridSpan w:val="2"/>
          </w:tcPr>
          <w:p w:rsidR="00EB7C15" w:rsidRPr="00675AB5" w:rsidRDefault="00EB7C15" w:rsidP="00D43DBC">
            <w:pPr>
              <w:spacing w:line="276" w:lineRule="auto"/>
              <w:jc w:val="center"/>
              <w:rPr>
                <w:sz w:val="20"/>
                <w:szCs w:val="20"/>
                <w:lang w:val="hr-HR"/>
              </w:rPr>
            </w:pPr>
            <w:r w:rsidRPr="00675AB5">
              <w:rPr>
                <w:sz w:val="20"/>
                <w:szCs w:val="20"/>
                <w:lang w:val="hr-HR"/>
              </w:rPr>
              <w:t>knjige</w:t>
            </w:r>
          </w:p>
        </w:tc>
        <w:tc>
          <w:tcPr>
            <w:tcW w:w="1446" w:type="dxa"/>
            <w:gridSpan w:val="3"/>
          </w:tcPr>
          <w:p w:rsidR="00EB7C15" w:rsidRPr="00675AB5" w:rsidRDefault="00EB7C15" w:rsidP="00D43DBC">
            <w:pPr>
              <w:spacing w:line="276" w:lineRule="auto"/>
              <w:jc w:val="center"/>
              <w:rPr>
                <w:sz w:val="20"/>
                <w:szCs w:val="20"/>
                <w:lang w:val="hr-HR"/>
              </w:rPr>
            </w:pPr>
            <w:r w:rsidRPr="00675AB5">
              <w:rPr>
                <w:sz w:val="20"/>
                <w:szCs w:val="20"/>
                <w:lang w:val="hr-HR"/>
              </w:rPr>
              <w:t>internet</w:t>
            </w:r>
          </w:p>
        </w:tc>
        <w:tc>
          <w:tcPr>
            <w:tcW w:w="1814" w:type="dxa"/>
          </w:tcPr>
          <w:p w:rsidR="00EB7C15" w:rsidRPr="00675AB5" w:rsidRDefault="00EB7C15" w:rsidP="00D43DBC">
            <w:pPr>
              <w:spacing w:line="276" w:lineRule="auto"/>
              <w:jc w:val="center"/>
              <w:rPr>
                <w:sz w:val="20"/>
                <w:szCs w:val="20"/>
                <w:lang w:val="hr-HR"/>
              </w:rPr>
            </w:pPr>
          </w:p>
        </w:tc>
      </w:tr>
      <w:tr w:rsidR="00EB7C15" w:rsidRPr="00675AB5" w:rsidTr="00D43DBC">
        <w:tc>
          <w:tcPr>
            <w:tcW w:w="9180" w:type="dxa"/>
            <w:gridSpan w:val="14"/>
          </w:tcPr>
          <w:p w:rsidR="00EB7C15" w:rsidRPr="00675AB5" w:rsidRDefault="00EB7C15" w:rsidP="00D43DBC">
            <w:pPr>
              <w:spacing w:line="276" w:lineRule="auto"/>
              <w:rPr>
                <w:b/>
                <w:bCs/>
                <w:smallCaps/>
                <w:sz w:val="20"/>
                <w:szCs w:val="20"/>
                <w:lang w:val="hr-HR"/>
              </w:rPr>
            </w:pPr>
            <w:r w:rsidRPr="00675AB5">
              <w:rPr>
                <w:b/>
                <w:bCs/>
                <w:smallCaps/>
                <w:sz w:val="20"/>
                <w:szCs w:val="20"/>
                <w:lang w:val="hr-HR"/>
              </w:rPr>
              <w:t>Uvjet za priznavanje bodova:</w:t>
            </w:r>
          </w:p>
        </w:tc>
      </w:tr>
      <w:tr w:rsidR="00EB7C15" w:rsidRPr="00675AB5" w:rsidTr="00D43DBC">
        <w:trPr>
          <w:cantSplit/>
        </w:trPr>
        <w:tc>
          <w:tcPr>
            <w:tcW w:w="4447" w:type="dxa"/>
            <w:gridSpan w:val="8"/>
          </w:tcPr>
          <w:p w:rsidR="00EB7C15" w:rsidRPr="00675AB5" w:rsidRDefault="00EB7C15" w:rsidP="00D43DBC">
            <w:pPr>
              <w:spacing w:line="276" w:lineRule="auto"/>
              <w:rPr>
                <w:sz w:val="20"/>
                <w:szCs w:val="20"/>
                <w:lang w:val="hr-HR"/>
              </w:rPr>
            </w:pPr>
            <w:r w:rsidRPr="00675AB5">
              <w:rPr>
                <w:sz w:val="20"/>
                <w:szCs w:val="20"/>
                <w:lang w:val="hr-HR"/>
              </w:rPr>
              <w:t>Odslušan kolegij</w:t>
            </w:r>
          </w:p>
        </w:tc>
        <w:tc>
          <w:tcPr>
            <w:tcW w:w="4733" w:type="dxa"/>
            <w:gridSpan w:val="6"/>
          </w:tcPr>
          <w:p w:rsidR="00EB7C15" w:rsidRPr="00675AB5" w:rsidRDefault="00EB7C15" w:rsidP="00D43DBC">
            <w:pPr>
              <w:spacing w:line="276" w:lineRule="auto"/>
              <w:rPr>
                <w:sz w:val="20"/>
                <w:szCs w:val="20"/>
                <w:lang w:val="hr-HR"/>
              </w:rPr>
            </w:pPr>
          </w:p>
        </w:tc>
      </w:tr>
      <w:tr w:rsidR="00EB7C15" w:rsidRPr="00675AB5" w:rsidTr="00D43DBC">
        <w:tc>
          <w:tcPr>
            <w:tcW w:w="9180" w:type="dxa"/>
            <w:gridSpan w:val="14"/>
          </w:tcPr>
          <w:p w:rsidR="00EB7C15" w:rsidRPr="00675AB5" w:rsidRDefault="00EB7C15" w:rsidP="00D43DBC">
            <w:pPr>
              <w:spacing w:line="276" w:lineRule="auto"/>
              <w:rPr>
                <w:b/>
                <w:bCs/>
                <w:smallCaps/>
                <w:sz w:val="20"/>
                <w:szCs w:val="20"/>
                <w:lang w:val="hr-HR"/>
              </w:rPr>
            </w:pPr>
            <w:r w:rsidRPr="00675AB5">
              <w:rPr>
                <w:b/>
                <w:bCs/>
                <w:smallCaps/>
                <w:sz w:val="20"/>
                <w:szCs w:val="20"/>
                <w:lang w:val="hr-HR"/>
              </w:rPr>
              <w:t>Način polaganja ispita:</w:t>
            </w:r>
          </w:p>
        </w:tc>
      </w:tr>
      <w:tr w:rsidR="00EB7C15" w:rsidRPr="00675AB5" w:rsidTr="00D43DBC">
        <w:trPr>
          <w:cantSplit/>
        </w:trPr>
        <w:tc>
          <w:tcPr>
            <w:tcW w:w="1728" w:type="dxa"/>
            <w:gridSpan w:val="2"/>
          </w:tcPr>
          <w:p w:rsidR="00EB7C15" w:rsidRPr="00675AB5" w:rsidRDefault="00EB7C15" w:rsidP="00D43DBC">
            <w:pPr>
              <w:spacing w:line="276" w:lineRule="auto"/>
              <w:jc w:val="center"/>
              <w:rPr>
                <w:sz w:val="20"/>
                <w:szCs w:val="20"/>
                <w:lang w:val="hr-HR"/>
              </w:rPr>
            </w:pPr>
            <w:r w:rsidRPr="00675AB5">
              <w:rPr>
                <w:sz w:val="20"/>
                <w:szCs w:val="20"/>
                <w:lang w:val="hr-HR"/>
              </w:rPr>
              <w:t>ispit se ne polaže</w:t>
            </w:r>
          </w:p>
        </w:tc>
        <w:tc>
          <w:tcPr>
            <w:tcW w:w="1224" w:type="dxa"/>
            <w:gridSpan w:val="3"/>
          </w:tcPr>
          <w:p w:rsidR="00EB7C15" w:rsidRPr="00675AB5" w:rsidRDefault="00EB7C15" w:rsidP="00D43DBC">
            <w:pPr>
              <w:spacing w:line="276" w:lineRule="auto"/>
              <w:jc w:val="center"/>
              <w:rPr>
                <w:b/>
                <w:bCs/>
                <w:sz w:val="20"/>
                <w:szCs w:val="20"/>
                <w:lang w:val="hr-HR"/>
              </w:rPr>
            </w:pPr>
          </w:p>
        </w:tc>
        <w:tc>
          <w:tcPr>
            <w:tcW w:w="1495" w:type="dxa"/>
            <w:gridSpan w:val="3"/>
          </w:tcPr>
          <w:p w:rsidR="00EB7C15" w:rsidRPr="00675AB5" w:rsidRDefault="00EB7C15" w:rsidP="00D43DBC">
            <w:pPr>
              <w:spacing w:line="276" w:lineRule="auto"/>
              <w:jc w:val="center"/>
              <w:rPr>
                <w:sz w:val="20"/>
                <w:szCs w:val="20"/>
                <w:lang w:val="hr-HR"/>
              </w:rPr>
            </w:pPr>
          </w:p>
        </w:tc>
        <w:tc>
          <w:tcPr>
            <w:tcW w:w="1473" w:type="dxa"/>
            <w:gridSpan w:val="2"/>
          </w:tcPr>
          <w:p w:rsidR="00EB7C15" w:rsidRPr="00675AB5" w:rsidRDefault="00EB7C15" w:rsidP="00D43DBC">
            <w:pPr>
              <w:spacing w:line="276" w:lineRule="auto"/>
              <w:jc w:val="center"/>
              <w:rPr>
                <w:sz w:val="20"/>
                <w:szCs w:val="20"/>
                <w:lang w:val="hr-HR"/>
              </w:rPr>
            </w:pPr>
          </w:p>
        </w:tc>
        <w:tc>
          <w:tcPr>
            <w:tcW w:w="1446" w:type="dxa"/>
            <w:gridSpan w:val="3"/>
          </w:tcPr>
          <w:p w:rsidR="00EB7C15" w:rsidRPr="00675AB5" w:rsidRDefault="00EB7C15" w:rsidP="00D43DBC">
            <w:pPr>
              <w:spacing w:line="276" w:lineRule="auto"/>
              <w:jc w:val="center"/>
              <w:rPr>
                <w:b/>
                <w:bCs/>
                <w:sz w:val="20"/>
                <w:szCs w:val="20"/>
                <w:lang w:val="hr-HR"/>
              </w:rPr>
            </w:pPr>
          </w:p>
        </w:tc>
        <w:tc>
          <w:tcPr>
            <w:tcW w:w="1814" w:type="dxa"/>
          </w:tcPr>
          <w:p w:rsidR="00EB7C15" w:rsidRPr="00675AB5" w:rsidRDefault="00EB7C15" w:rsidP="00D43DBC">
            <w:pPr>
              <w:spacing w:line="276" w:lineRule="auto"/>
              <w:jc w:val="center"/>
              <w:rPr>
                <w:b/>
                <w:bCs/>
                <w:sz w:val="20"/>
                <w:szCs w:val="20"/>
                <w:lang w:val="hr-HR"/>
              </w:rPr>
            </w:pPr>
          </w:p>
        </w:tc>
      </w:tr>
      <w:tr w:rsidR="00EB7C15" w:rsidRPr="0066173E" w:rsidTr="00D43DBC">
        <w:tc>
          <w:tcPr>
            <w:tcW w:w="9180" w:type="dxa"/>
            <w:gridSpan w:val="14"/>
            <w:tcBorders>
              <w:top w:val="nil"/>
            </w:tcBorders>
          </w:tcPr>
          <w:p w:rsidR="00EB7C15" w:rsidRPr="00675AB5" w:rsidRDefault="00EB7C15" w:rsidP="00D43DBC">
            <w:pPr>
              <w:spacing w:line="276" w:lineRule="auto"/>
              <w:ind w:left="720" w:hanging="720"/>
              <w:jc w:val="both"/>
              <w:rPr>
                <w:b/>
                <w:bCs/>
                <w:sz w:val="20"/>
                <w:szCs w:val="20"/>
                <w:lang w:val="hr-HR"/>
              </w:rPr>
            </w:pPr>
            <w:r w:rsidRPr="00675AB5">
              <w:rPr>
                <w:b/>
                <w:bCs/>
                <w:sz w:val="20"/>
                <w:szCs w:val="20"/>
                <w:lang w:val="hr-HR"/>
              </w:rPr>
              <w:t>LITERATURA:</w:t>
            </w:r>
          </w:p>
          <w:p w:rsidR="00EB7C15" w:rsidRPr="00675AB5" w:rsidRDefault="00EB7C15" w:rsidP="00D43DBC">
            <w:pPr>
              <w:spacing w:line="276" w:lineRule="auto"/>
              <w:ind w:left="720" w:hanging="720"/>
              <w:jc w:val="both"/>
              <w:rPr>
                <w:b/>
                <w:bCs/>
                <w:sz w:val="20"/>
                <w:szCs w:val="20"/>
                <w:lang w:val="hr-HR"/>
              </w:rPr>
            </w:pPr>
            <w:r w:rsidRPr="00675AB5">
              <w:rPr>
                <w:b/>
                <w:bCs/>
                <w:sz w:val="20"/>
                <w:szCs w:val="20"/>
                <w:lang w:val="hr-HR"/>
              </w:rPr>
              <w:t>Obvezna:</w:t>
            </w:r>
          </w:p>
          <w:p w:rsidR="00EB7C15" w:rsidRPr="00675AB5" w:rsidRDefault="00EB7C15" w:rsidP="00D43DBC">
            <w:pPr>
              <w:spacing w:line="276" w:lineRule="auto"/>
              <w:jc w:val="both"/>
              <w:rPr>
                <w:sz w:val="20"/>
                <w:szCs w:val="20"/>
                <w:lang w:val="hr-HR"/>
              </w:rPr>
            </w:pPr>
            <w:r w:rsidRPr="00675AB5">
              <w:rPr>
                <w:sz w:val="20"/>
                <w:szCs w:val="20"/>
                <w:lang w:val="hr-HR"/>
              </w:rPr>
              <w:t xml:space="preserve">BOUSSET, W., </w:t>
            </w:r>
            <w:r w:rsidRPr="00675AB5">
              <w:rPr>
                <w:bCs/>
                <w:sz w:val="20"/>
                <w:szCs w:val="20"/>
                <w:lang w:val="hr-HR"/>
              </w:rPr>
              <w:t xml:space="preserve">Sibyllen und sibyllinische Bücher, </w:t>
            </w:r>
            <w:r w:rsidRPr="00675AB5">
              <w:rPr>
                <w:bCs/>
                <w:i/>
                <w:sz w:val="20"/>
                <w:szCs w:val="20"/>
                <w:lang w:val="hr-HR"/>
              </w:rPr>
              <w:t>Real-Encyclopaedie der Protestantischen Theologie und Kirche</w:t>
            </w:r>
            <w:r w:rsidRPr="00675AB5">
              <w:rPr>
                <w:bCs/>
                <w:sz w:val="20"/>
                <w:szCs w:val="20"/>
                <w:lang w:val="hr-HR"/>
              </w:rPr>
              <w:t>, XVIII, Leipzig, 1906.</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CAMBI, N., </w:t>
            </w:r>
            <w:r w:rsidRPr="00675AB5">
              <w:rPr>
                <w:bCs/>
                <w:i/>
                <w:sz w:val="20"/>
                <w:szCs w:val="20"/>
                <w:lang w:val="hr-HR"/>
              </w:rPr>
              <w:t>Antika</w:t>
            </w:r>
            <w:r w:rsidRPr="00675AB5">
              <w:rPr>
                <w:bCs/>
                <w:sz w:val="20"/>
                <w:szCs w:val="20"/>
                <w:lang w:val="hr-HR"/>
              </w:rPr>
              <w:t>, Zagreb, 2002.</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CAMBI, N., </w:t>
            </w:r>
            <w:r w:rsidRPr="00675AB5">
              <w:rPr>
                <w:bCs/>
                <w:i/>
                <w:sz w:val="20"/>
                <w:szCs w:val="20"/>
                <w:lang w:val="hr-HR"/>
              </w:rPr>
              <w:t>Antički portret u Hrvatskoj</w:t>
            </w:r>
            <w:r w:rsidRPr="00675AB5">
              <w:rPr>
                <w:bCs/>
                <w:sz w:val="20"/>
                <w:szCs w:val="20"/>
                <w:lang w:val="hr-HR"/>
              </w:rPr>
              <w:t>, 1991.</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CAMBI, N., </w:t>
            </w:r>
            <w:r w:rsidRPr="00675AB5">
              <w:rPr>
                <w:bCs/>
                <w:i/>
                <w:sz w:val="20"/>
                <w:szCs w:val="20"/>
                <w:lang w:val="hr-HR"/>
              </w:rPr>
              <w:t>Kiparstvo rimske Dalmacije</w:t>
            </w:r>
            <w:r w:rsidRPr="00675AB5">
              <w:rPr>
                <w:bCs/>
                <w:sz w:val="20"/>
                <w:szCs w:val="20"/>
                <w:lang w:val="hr-HR"/>
              </w:rPr>
              <w:t>, Split, 2005.</w:t>
            </w:r>
          </w:p>
          <w:p w:rsidR="00EB7C15" w:rsidRPr="00675AB5" w:rsidRDefault="00EB7C15" w:rsidP="00D43DBC">
            <w:pPr>
              <w:spacing w:line="276" w:lineRule="auto"/>
              <w:jc w:val="both"/>
              <w:rPr>
                <w:sz w:val="20"/>
                <w:szCs w:val="20"/>
                <w:lang w:val="hr-HR"/>
              </w:rPr>
            </w:pPr>
            <w:r w:rsidRPr="00675AB5">
              <w:rPr>
                <w:bCs/>
                <w:sz w:val="20"/>
                <w:szCs w:val="20"/>
                <w:lang w:val="hr-HR"/>
              </w:rPr>
              <w:lastRenderedPageBreak/>
              <w:t xml:space="preserve">CUMONT, F., Archigallus, </w:t>
            </w:r>
            <w:r w:rsidRPr="00675AB5">
              <w:rPr>
                <w:i/>
                <w:sz w:val="20"/>
                <w:szCs w:val="20"/>
                <w:lang w:val="hr-HR"/>
              </w:rPr>
              <w:t>Paulys Realencyclopädie der classischen Altertumswissenschaft: neue Bearbeitung</w:t>
            </w:r>
            <w:r w:rsidRPr="00675AB5">
              <w:rPr>
                <w:sz w:val="20"/>
                <w:szCs w:val="20"/>
                <w:lang w:val="hr-HR"/>
              </w:rPr>
              <w:t xml:space="preserve">, II.1, Stuttgart, 1986.  </w:t>
            </w:r>
          </w:p>
          <w:p w:rsidR="00EB7C15" w:rsidRPr="00675AB5" w:rsidRDefault="00EB7C15" w:rsidP="00D43DBC">
            <w:pPr>
              <w:spacing w:line="276" w:lineRule="auto"/>
              <w:jc w:val="both"/>
              <w:rPr>
                <w:sz w:val="20"/>
                <w:szCs w:val="20"/>
                <w:lang w:val="hr-HR"/>
              </w:rPr>
            </w:pPr>
            <w:r w:rsidRPr="00675AB5">
              <w:rPr>
                <w:sz w:val="20"/>
                <w:szCs w:val="20"/>
                <w:lang w:val="hr-HR"/>
              </w:rPr>
              <w:t xml:space="preserve">CUMONT, F., Dendrophori, </w:t>
            </w:r>
            <w:r w:rsidRPr="00675AB5">
              <w:rPr>
                <w:i/>
                <w:sz w:val="20"/>
                <w:szCs w:val="20"/>
                <w:lang w:val="hr-HR"/>
              </w:rPr>
              <w:t>Paulys Realencyclopädie der classischen Altertumswissenschaft: neue Bearbeitung</w:t>
            </w:r>
            <w:r w:rsidRPr="00675AB5">
              <w:rPr>
                <w:sz w:val="20"/>
                <w:szCs w:val="20"/>
                <w:lang w:val="hr-HR"/>
              </w:rPr>
              <w:t>, V.1, Stuttgart, 1905.</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DEGRASSI, A., Auguri (lat. </w:t>
            </w:r>
            <w:r w:rsidRPr="00675AB5">
              <w:rPr>
                <w:bCs/>
                <w:i/>
                <w:sz w:val="20"/>
                <w:szCs w:val="20"/>
                <w:lang w:val="hr-HR"/>
              </w:rPr>
              <w:t>augures</w:t>
            </w:r>
            <w:r w:rsidRPr="00675AB5">
              <w:rPr>
                <w:bCs/>
                <w:sz w:val="20"/>
                <w:szCs w:val="20"/>
                <w:lang w:val="hr-HR"/>
              </w:rPr>
              <w:t xml:space="preserve">), </w:t>
            </w:r>
            <w:r w:rsidRPr="00675AB5">
              <w:rPr>
                <w:bCs/>
                <w:i/>
                <w:sz w:val="20"/>
                <w:szCs w:val="20"/>
                <w:lang w:val="hr-HR"/>
              </w:rPr>
              <w:t>Enciclopedia Italiana di scienze, lettere ed arti</w:t>
            </w:r>
            <w:r w:rsidRPr="00675AB5">
              <w:rPr>
                <w:bCs/>
                <w:sz w:val="20"/>
                <w:szCs w:val="20"/>
                <w:lang w:val="hr-HR"/>
              </w:rPr>
              <w:t>, 5, Milano-Roma, 1930.</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DEGRASSI, A., Augustalie, </w:t>
            </w:r>
            <w:r w:rsidRPr="00675AB5">
              <w:rPr>
                <w:bCs/>
                <w:i/>
                <w:sz w:val="20"/>
                <w:szCs w:val="20"/>
                <w:lang w:val="hr-HR"/>
              </w:rPr>
              <w:t>Enciclopedia Italiana di scienze, lettere ed arti</w:t>
            </w:r>
            <w:r w:rsidRPr="00675AB5">
              <w:rPr>
                <w:bCs/>
                <w:sz w:val="20"/>
                <w:szCs w:val="20"/>
                <w:lang w:val="hr-HR"/>
              </w:rPr>
              <w:t>, 5, Milano-Roma, 1930.</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DUTHOY, R., Les Augustales, </w:t>
            </w:r>
            <w:r w:rsidRPr="00675AB5">
              <w:rPr>
                <w:bCs/>
                <w:i/>
                <w:sz w:val="20"/>
                <w:szCs w:val="20"/>
                <w:lang w:val="hr-HR"/>
              </w:rPr>
              <w:t>ANRW</w:t>
            </w:r>
            <w:r w:rsidRPr="00675AB5">
              <w:rPr>
                <w:bCs/>
                <w:sz w:val="20"/>
                <w:szCs w:val="20"/>
                <w:lang w:val="hr-HR"/>
              </w:rPr>
              <w:t>, II, 16.2, Berlin-New York, 1978.</w:t>
            </w:r>
          </w:p>
          <w:p w:rsidR="00EB7C15" w:rsidRPr="00675AB5" w:rsidRDefault="00EB7C15" w:rsidP="00D43DBC">
            <w:pPr>
              <w:spacing w:line="276" w:lineRule="auto"/>
              <w:ind w:left="720" w:hanging="720"/>
              <w:jc w:val="both"/>
              <w:rPr>
                <w:sz w:val="20"/>
                <w:szCs w:val="20"/>
                <w:lang w:val="hr-HR"/>
              </w:rPr>
            </w:pPr>
            <w:r w:rsidRPr="00675AB5">
              <w:rPr>
                <w:bCs/>
                <w:sz w:val="20"/>
                <w:szCs w:val="20"/>
                <w:lang w:val="hr-HR"/>
              </w:rPr>
              <w:t xml:space="preserve">FERRI, N., </w:t>
            </w:r>
            <w:r w:rsidRPr="00675AB5">
              <w:rPr>
                <w:i/>
                <w:sz w:val="20"/>
                <w:szCs w:val="20"/>
                <w:lang w:val="hr-HR"/>
              </w:rPr>
              <w:t>Seviri Augustales</w:t>
            </w:r>
            <w:r w:rsidRPr="00675AB5">
              <w:rPr>
                <w:sz w:val="20"/>
                <w:szCs w:val="20"/>
                <w:lang w:val="hr-HR"/>
              </w:rPr>
              <w:t xml:space="preserve"> i </w:t>
            </w:r>
            <w:r w:rsidRPr="00675AB5">
              <w:rPr>
                <w:i/>
                <w:sz w:val="20"/>
                <w:szCs w:val="20"/>
                <w:lang w:val="hr-HR"/>
              </w:rPr>
              <w:t>Augustales</w:t>
            </w:r>
            <w:r w:rsidRPr="00675AB5">
              <w:rPr>
                <w:sz w:val="20"/>
                <w:szCs w:val="20"/>
                <w:lang w:val="hr-HR"/>
              </w:rPr>
              <w:t xml:space="preserve"> libertinskoga porijekla u Gornjoj Meziji, </w:t>
            </w:r>
            <w:r w:rsidRPr="00675AB5">
              <w:rPr>
                <w:i/>
                <w:sz w:val="20"/>
                <w:szCs w:val="20"/>
                <w:lang w:val="hr-HR"/>
              </w:rPr>
              <w:t>AV</w:t>
            </w:r>
            <w:r w:rsidRPr="00675AB5">
              <w:rPr>
                <w:sz w:val="20"/>
                <w:szCs w:val="20"/>
                <w:lang w:val="hr-HR"/>
              </w:rPr>
              <w:t>, 41, Ljubljana, 1990.</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GABRIČEVIĆ, B., Židovska vjerska općina u Saloni, </w:t>
            </w:r>
            <w:r w:rsidRPr="00675AB5">
              <w:rPr>
                <w:bCs/>
                <w:i/>
                <w:sz w:val="20"/>
                <w:szCs w:val="20"/>
                <w:lang w:val="hr-HR"/>
              </w:rPr>
              <w:t>Studije i članci o religijama i kultovima antičkog svijeta</w:t>
            </w:r>
            <w:r w:rsidRPr="00675AB5">
              <w:rPr>
                <w:bCs/>
                <w:sz w:val="20"/>
                <w:szCs w:val="20"/>
                <w:lang w:val="hr-HR"/>
              </w:rPr>
              <w:t>, Split, 1987.</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GIUNIO, K., Iader – svećenici grada živih u gradu mrtvih, </w:t>
            </w:r>
            <w:r w:rsidRPr="00675AB5">
              <w:rPr>
                <w:bCs/>
                <w:i/>
                <w:sz w:val="20"/>
                <w:szCs w:val="20"/>
                <w:lang w:val="hr-HR"/>
              </w:rPr>
              <w:t>HA</w:t>
            </w:r>
            <w:r w:rsidRPr="00675AB5">
              <w:rPr>
                <w:bCs/>
                <w:sz w:val="20"/>
                <w:szCs w:val="20"/>
                <w:lang w:val="hr-HR"/>
              </w:rPr>
              <w:t>, 8, Pula, 1998.</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GIUNIO, K., Egyptian Gods on the Eastern Adriatic Coast, </w:t>
            </w:r>
            <w:r w:rsidRPr="00675AB5">
              <w:rPr>
                <w:bCs/>
                <w:i/>
                <w:sz w:val="20"/>
                <w:szCs w:val="20"/>
                <w:lang w:val="hr-HR"/>
              </w:rPr>
              <w:t>Aegyptus et Pannonia</w:t>
            </w:r>
            <w:r w:rsidRPr="00675AB5">
              <w:rPr>
                <w:bCs/>
                <w:sz w:val="20"/>
                <w:szCs w:val="20"/>
                <w:lang w:val="hr-HR"/>
              </w:rPr>
              <w:t xml:space="preserve">, I, </w:t>
            </w:r>
            <w:r w:rsidRPr="00675AB5">
              <w:rPr>
                <w:bCs/>
                <w:i/>
                <w:sz w:val="20"/>
                <w:szCs w:val="20"/>
                <w:lang w:val="hr-HR"/>
              </w:rPr>
              <w:t>Acta Symposii anno 2000</w:t>
            </w:r>
            <w:r w:rsidRPr="00675AB5">
              <w:rPr>
                <w:bCs/>
                <w:sz w:val="20"/>
                <w:szCs w:val="20"/>
                <w:lang w:val="hr-HR"/>
              </w:rPr>
              <w:t>, Budapest, 2002.</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GIUNIO, K., Monumentalni žrtvenik s prikazom Vučice s Romulom i Remom i scenama žrtvovanja iz Aserije, </w:t>
            </w:r>
            <w:r w:rsidRPr="00675AB5">
              <w:rPr>
                <w:bCs/>
                <w:i/>
                <w:sz w:val="20"/>
                <w:szCs w:val="20"/>
                <w:lang w:val="hr-HR"/>
              </w:rPr>
              <w:t>Asseria</w:t>
            </w:r>
            <w:r w:rsidRPr="00675AB5">
              <w:rPr>
                <w:bCs/>
                <w:sz w:val="20"/>
                <w:szCs w:val="20"/>
                <w:lang w:val="hr-HR"/>
              </w:rPr>
              <w:t>, 1, Zadar, 2003.</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GIUNIO, K.,  Kult Merkura - boga trgovine u rimskoj provinciji Dalmaciji, </w:t>
            </w:r>
            <w:r w:rsidRPr="00675AB5">
              <w:rPr>
                <w:bCs/>
                <w:i/>
                <w:sz w:val="20"/>
                <w:szCs w:val="20"/>
                <w:lang w:val="hr-HR"/>
              </w:rPr>
              <w:t>Histria Antiqua</w:t>
            </w:r>
            <w:r w:rsidRPr="00675AB5">
              <w:rPr>
                <w:bCs/>
                <w:sz w:val="20"/>
                <w:szCs w:val="20"/>
                <w:lang w:val="hr-HR"/>
              </w:rPr>
              <w:t xml:space="preserve">, 12, Pula, 2004. </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GIUNIO, K., Carski kult u Zadru, </w:t>
            </w:r>
            <w:r w:rsidRPr="00675AB5">
              <w:rPr>
                <w:bCs/>
                <w:i/>
                <w:sz w:val="20"/>
                <w:szCs w:val="20"/>
                <w:lang w:val="hr-HR"/>
              </w:rPr>
              <w:t>HA</w:t>
            </w:r>
            <w:r w:rsidRPr="00675AB5">
              <w:rPr>
                <w:bCs/>
                <w:sz w:val="20"/>
                <w:szCs w:val="20"/>
                <w:lang w:val="hr-HR"/>
              </w:rPr>
              <w:t>, 13, Pula, 2005.</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GIUNIO, K., Carski kult u Aseriji, </w:t>
            </w:r>
            <w:r w:rsidRPr="00675AB5">
              <w:rPr>
                <w:bCs/>
                <w:i/>
                <w:sz w:val="20"/>
                <w:szCs w:val="20"/>
                <w:lang w:val="hr-HR"/>
              </w:rPr>
              <w:t>Asseria</w:t>
            </w:r>
            <w:r w:rsidRPr="00675AB5">
              <w:rPr>
                <w:bCs/>
                <w:sz w:val="20"/>
                <w:szCs w:val="20"/>
                <w:lang w:val="hr-HR"/>
              </w:rPr>
              <w:t>, 5, Benkovac, 2007.</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GIUNIO, K., Vodeće svećeničke službe i kolegiji grada Rima i rimske provincije Dalmacije – sličnosti i razlike, </w:t>
            </w:r>
            <w:r w:rsidRPr="00675AB5">
              <w:rPr>
                <w:bCs/>
                <w:i/>
                <w:sz w:val="20"/>
                <w:szCs w:val="20"/>
                <w:lang w:val="hr-HR"/>
              </w:rPr>
              <w:t>HA</w:t>
            </w:r>
            <w:r w:rsidRPr="00675AB5">
              <w:rPr>
                <w:bCs/>
                <w:sz w:val="20"/>
                <w:szCs w:val="20"/>
                <w:lang w:val="hr-HR"/>
              </w:rPr>
              <w:t>, 18-1, Pula, 2009.</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GIUNIO, K., </w:t>
            </w:r>
            <w:r w:rsidRPr="00675AB5">
              <w:rPr>
                <w:bCs/>
                <w:i/>
                <w:sz w:val="20"/>
                <w:szCs w:val="20"/>
                <w:lang w:val="hr-HR"/>
              </w:rPr>
              <w:t>Svećenici i svećeničke organizacije u rimskoj provinciji Dalmaciji</w:t>
            </w:r>
            <w:r w:rsidRPr="00675AB5">
              <w:rPr>
                <w:bCs/>
                <w:sz w:val="20"/>
                <w:szCs w:val="20"/>
                <w:lang w:val="hr-HR"/>
              </w:rPr>
              <w:t>, Sveučilište u Zadru (disertacija),  Zadar, 2012.</w:t>
            </w:r>
          </w:p>
          <w:p w:rsidR="00EB7C15" w:rsidRPr="00675AB5" w:rsidRDefault="00EB7C15" w:rsidP="00D43DBC">
            <w:pPr>
              <w:tabs>
                <w:tab w:val="left" w:pos="851"/>
              </w:tabs>
              <w:spacing w:line="276" w:lineRule="auto"/>
              <w:jc w:val="both"/>
              <w:rPr>
                <w:color w:val="000000"/>
                <w:sz w:val="20"/>
                <w:szCs w:val="20"/>
                <w:lang w:val="hr-HR"/>
              </w:rPr>
            </w:pPr>
            <w:r w:rsidRPr="00675AB5">
              <w:rPr>
                <w:color w:val="000000"/>
                <w:sz w:val="20"/>
                <w:szCs w:val="20"/>
                <w:lang w:val="hr-HR"/>
              </w:rPr>
              <w:t xml:space="preserve">JADRIĆ, I., Svečanosti u čast boga Libera u Seniji i Saloni, </w:t>
            </w:r>
            <w:r w:rsidRPr="00675AB5">
              <w:rPr>
                <w:i/>
                <w:color w:val="000000"/>
                <w:sz w:val="20"/>
                <w:szCs w:val="20"/>
                <w:lang w:val="hr-HR"/>
              </w:rPr>
              <w:t>HA</w:t>
            </w:r>
            <w:r w:rsidRPr="00675AB5">
              <w:rPr>
                <w:color w:val="000000"/>
                <w:sz w:val="20"/>
                <w:szCs w:val="20"/>
                <w:lang w:val="hr-HR"/>
              </w:rPr>
              <w:t>, 16, Pula, 2008.</w:t>
            </w:r>
          </w:p>
          <w:p w:rsidR="00EB7C15" w:rsidRPr="00675AB5" w:rsidRDefault="00EB7C15" w:rsidP="00D43DBC">
            <w:pPr>
              <w:spacing w:line="276" w:lineRule="auto"/>
              <w:rPr>
                <w:bCs/>
                <w:sz w:val="20"/>
                <w:szCs w:val="20"/>
                <w:lang w:val="hr-HR"/>
              </w:rPr>
            </w:pPr>
            <w:r w:rsidRPr="00675AB5">
              <w:rPr>
                <w:bCs/>
                <w:sz w:val="20"/>
                <w:szCs w:val="20"/>
                <w:lang w:val="hr-HR"/>
              </w:rPr>
              <w:t xml:space="preserve">JADRIĆ-KUČAN, I.,  Kult božice Rome u rimskoj provinciji Dalmaciji, </w:t>
            </w:r>
            <w:r w:rsidRPr="00675AB5">
              <w:rPr>
                <w:bCs/>
                <w:i/>
                <w:sz w:val="20"/>
                <w:szCs w:val="20"/>
                <w:lang w:val="hr-HR"/>
              </w:rPr>
              <w:t>VAPD</w:t>
            </w:r>
            <w:r w:rsidRPr="00675AB5">
              <w:rPr>
                <w:bCs/>
                <w:sz w:val="20"/>
                <w:szCs w:val="20"/>
                <w:lang w:val="hr-HR"/>
              </w:rPr>
              <w:t>, 104, Split, 2011.</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JADRIĆ-KUČAN, I.,  </w:t>
            </w:r>
            <w:r w:rsidRPr="00675AB5">
              <w:rPr>
                <w:bCs/>
                <w:i/>
                <w:sz w:val="20"/>
                <w:szCs w:val="20"/>
                <w:lang w:val="hr-HR"/>
              </w:rPr>
              <w:t>Carski kult u rimskoj provinciji Dalmaciji</w:t>
            </w:r>
            <w:r w:rsidRPr="00675AB5">
              <w:rPr>
                <w:bCs/>
                <w:sz w:val="20"/>
                <w:szCs w:val="20"/>
                <w:lang w:val="hr-HR"/>
              </w:rPr>
              <w:t>, Sveučilište u Zadru (disertacija),  Zadar, 2011.</w:t>
            </w:r>
          </w:p>
          <w:p w:rsidR="00EB7C15" w:rsidRPr="00675AB5" w:rsidRDefault="00EB7C15" w:rsidP="00D43DBC">
            <w:pPr>
              <w:spacing w:line="276" w:lineRule="auto"/>
              <w:rPr>
                <w:bCs/>
                <w:sz w:val="20"/>
                <w:szCs w:val="20"/>
                <w:lang w:val="hr-HR"/>
              </w:rPr>
            </w:pPr>
            <w:r w:rsidRPr="00675AB5">
              <w:rPr>
                <w:bCs/>
                <w:sz w:val="20"/>
                <w:szCs w:val="20"/>
                <w:lang w:val="hr-HR"/>
              </w:rPr>
              <w:t xml:space="preserve">JADRIĆ-KUČAN, I., Pokrajinski carski kult u rimskoj provinciji Dalmaciji, </w:t>
            </w:r>
            <w:r w:rsidRPr="00675AB5">
              <w:rPr>
                <w:bCs/>
                <w:i/>
                <w:sz w:val="20"/>
                <w:szCs w:val="20"/>
                <w:lang w:val="hr-HR"/>
              </w:rPr>
              <w:t>VAPD</w:t>
            </w:r>
            <w:r w:rsidRPr="00675AB5">
              <w:rPr>
                <w:bCs/>
                <w:sz w:val="20"/>
                <w:szCs w:val="20"/>
                <w:lang w:val="hr-HR"/>
              </w:rPr>
              <w:t>, 105, Split, 2012.</w:t>
            </w:r>
          </w:p>
          <w:p w:rsidR="00EB7C15" w:rsidRPr="00675AB5" w:rsidRDefault="00EB7C15" w:rsidP="00D43DBC">
            <w:pPr>
              <w:spacing w:line="276" w:lineRule="auto"/>
              <w:jc w:val="both"/>
              <w:rPr>
                <w:sz w:val="20"/>
                <w:szCs w:val="20"/>
                <w:lang w:val="hr-HR"/>
              </w:rPr>
            </w:pPr>
            <w:r w:rsidRPr="00675AB5">
              <w:rPr>
                <w:bCs/>
                <w:sz w:val="20"/>
                <w:szCs w:val="20"/>
                <w:lang w:val="hr-HR"/>
              </w:rPr>
              <w:t xml:space="preserve">KORNEMANN, E., Collegium, </w:t>
            </w:r>
            <w:r w:rsidRPr="00675AB5">
              <w:rPr>
                <w:i/>
                <w:sz w:val="20"/>
                <w:szCs w:val="20"/>
                <w:lang w:val="hr-HR"/>
              </w:rPr>
              <w:t>Paulys Realencyclopädie der classischen Altertumswissenschaft: neue Bearbeitung</w:t>
            </w:r>
            <w:r w:rsidRPr="00675AB5">
              <w:rPr>
                <w:sz w:val="20"/>
                <w:szCs w:val="20"/>
                <w:lang w:val="hr-HR"/>
              </w:rPr>
              <w:t>, IV.1, Stuttgart, 1901.</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KURILIĆ, A.,  Vladajući sloj Aserije: magistrati i dobročinitelji, te njihove familije i obitelji, </w:t>
            </w:r>
            <w:r w:rsidRPr="00675AB5">
              <w:rPr>
                <w:bCs/>
                <w:i/>
                <w:sz w:val="20"/>
                <w:szCs w:val="20"/>
                <w:lang w:val="hr-HR"/>
              </w:rPr>
              <w:t>Asseria</w:t>
            </w:r>
            <w:r w:rsidRPr="00675AB5">
              <w:rPr>
                <w:bCs/>
                <w:sz w:val="20"/>
                <w:szCs w:val="20"/>
                <w:lang w:val="hr-HR"/>
              </w:rPr>
              <w:t>, 4, Zadar, 2006.</w:t>
            </w:r>
          </w:p>
          <w:p w:rsidR="00EB7C15" w:rsidRPr="00675AB5" w:rsidRDefault="00EB7C15" w:rsidP="00D43DBC">
            <w:pPr>
              <w:spacing w:line="276" w:lineRule="auto"/>
              <w:ind w:left="720" w:hanging="720"/>
              <w:jc w:val="both"/>
              <w:rPr>
                <w:bCs/>
                <w:sz w:val="20"/>
                <w:szCs w:val="20"/>
                <w:lang w:val="hr-HR"/>
              </w:rPr>
            </w:pPr>
            <w:r w:rsidRPr="00675AB5">
              <w:rPr>
                <w:bCs/>
                <w:sz w:val="20"/>
                <w:szCs w:val="20"/>
                <w:lang w:val="hr-HR"/>
              </w:rPr>
              <w:t xml:space="preserve">KURILIĆ, A., Promišljanja o munificijenciji flamena božanskog Klaudija, </w:t>
            </w:r>
            <w:r w:rsidRPr="00675AB5">
              <w:rPr>
                <w:bCs/>
                <w:i/>
                <w:sz w:val="20"/>
                <w:szCs w:val="20"/>
                <w:lang w:val="hr-HR"/>
              </w:rPr>
              <w:t>Asseria</w:t>
            </w:r>
            <w:r w:rsidRPr="00675AB5">
              <w:rPr>
                <w:bCs/>
                <w:sz w:val="20"/>
                <w:szCs w:val="20"/>
                <w:lang w:val="hr-HR"/>
              </w:rPr>
              <w:t>, 6, Benkovac, 2008.</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KURILIĆ, A., </w:t>
            </w:r>
            <w:r w:rsidRPr="00675AB5">
              <w:rPr>
                <w:bCs/>
                <w:i/>
                <w:sz w:val="20"/>
                <w:szCs w:val="20"/>
                <w:lang w:val="hr-HR"/>
              </w:rPr>
              <w:t>L. Gavius Optatus sacerdos Liburnorum</w:t>
            </w:r>
            <w:r w:rsidRPr="00675AB5">
              <w:rPr>
                <w:bCs/>
                <w:sz w:val="20"/>
                <w:szCs w:val="20"/>
                <w:lang w:val="hr-HR"/>
              </w:rPr>
              <w:t xml:space="preserve"> iz Senja, </w:t>
            </w:r>
            <w:r w:rsidRPr="00675AB5">
              <w:rPr>
                <w:bCs/>
                <w:i/>
                <w:sz w:val="20"/>
                <w:szCs w:val="20"/>
                <w:lang w:val="hr-HR"/>
              </w:rPr>
              <w:t>Scripta Branimiro Gabričević dicata</w:t>
            </w:r>
            <w:r w:rsidRPr="00675AB5">
              <w:rPr>
                <w:bCs/>
                <w:sz w:val="20"/>
                <w:szCs w:val="20"/>
                <w:lang w:val="hr-HR"/>
              </w:rPr>
              <w:t>, Trilj, 2010.</w:t>
            </w:r>
          </w:p>
          <w:p w:rsidR="00EB7C15" w:rsidRPr="00675AB5" w:rsidRDefault="00EB7C15" w:rsidP="00D43DBC">
            <w:pPr>
              <w:spacing w:line="276" w:lineRule="auto"/>
              <w:jc w:val="both"/>
              <w:rPr>
                <w:sz w:val="20"/>
                <w:szCs w:val="20"/>
                <w:lang w:val="hr-HR"/>
              </w:rPr>
            </w:pPr>
            <w:r w:rsidRPr="00675AB5">
              <w:rPr>
                <w:sz w:val="20"/>
                <w:szCs w:val="20"/>
                <w:lang w:val="hr-HR"/>
              </w:rPr>
              <w:t xml:space="preserve">MEDINI, J., Epigrafički podaci o munificijencijama i ostalim javnim gradnjama iz antičke Liburnije, </w:t>
            </w:r>
            <w:r w:rsidRPr="00675AB5">
              <w:rPr>
                <w:i/>
                <w:sz w:val="20"/>
                <w:szCs w:val="20"/>
                <w:lang w:val="hr-HR"/>
              </w:rPr>
              <w:t>RFFZd,</w:t>
            </w:r>
            <w:r w:rsidRPr="00675AB5">
              <w:rPr>
                <w:sz w:val="20"/>
                <w:szCs w:val="20"/>
                <w:lang w:val="hr-HR"/>
              </w:rPr>
              <w:t xml:space="preserve"> 6 (3), Zadar, 1969.</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MEDINI, J., </w:t>
            </w:r>
            <w:r w:rsidRPr="00675AB5">
              <w:rPr>
                <w:bCs/>
                <w:i/>
                <w:sz w:val="20"/>
                <w:szCs w:val="20"/>
                <w:lang w:val="hr-HR"/>
              </w:rPr>
              <w:t>Maloazijske religije u rimskoj provinciji Dalmaciji</w:t>
            </w:r>
            <w:r w:rsidRPr="00675AB5">
              <w:rPr>
                <w:bCs/>
                <w:sz w:val="20"/>
                <w:szCs w:val="20"/>
                <w:lang w:val="hr-HR"/>
              </w:rPr>
              <w:t>, doktorska disertacija, Zadar, 1981.</w:t>
            </w:r>
          </w:p>
          <w:p w:rsidR="00EB7C15" w:rsidRPr="00675AB5" w:rsidRDefault="00EB7C15" w:rsidP="00D43DBC">
            <w:pPr>
              <w:spacing w:line="276" w:lineRule="auto"/>
              <w:jc w:val="both"/>
              <w:rPr>
                <w:sz w:val="20"/>
                <w:szCs w:val="20"/>
                <w:lang w:val="hr-HR"/>
              </w:rPr>
            </w:pPr>
            <w:r w:rsidRPr="00675AB5">
              <w:rPr>
                <w:sz w:val="20"/>
                <w:szCs w:val="20"/>
                <w:lang w:val="hr-HR"/>
              </w:rPr>
              <w:t xml:space="preserve">MEDINI, J., Salonitanski arhigalat, </w:t>
            </w:r>
            <w:r w:rsidRPr="00675AB5">
              <w:rPr>
                <w:i/>
                <w:sz w:val="20"/>
                <w:szCs w:val="20"/>
                <w:lang w:val="hr-HR"/>
              </w:rPr>
              <w:t>RFFZd</w:t>
            </w:r>
            <w:r w:rsidRPr="00675AB5">
              <w:rPr>
                <w:sz w:val="20"/>
                <w:szCs w:val="20"/>
                <w:lang w:val="hr-HR"/>
              </w:rPr>
              <w:t>, 20(9), Zadar, 1982.</w:t>
            </w:r>
          </w:p>
          <w:p w:rsidR="00EB7C15" w:rsidRPr="00675AB5" w:rsidRDefault="00EB7C15" w:rsidP="00D43DBC">
            <w:pPr>
              <w:spacing w:line="276" w:lineRule="auto"/>
              <w:jc w:val="both"/>
              <w:rPr>
                <w:sz w:val="20"/>
                <w:szCs w:val="20"/>
                <w:lang w:val="hr-HR"/>
              </w:rPr>
            </w:pPr>
            <w:r w:rsidRPr="00675AB5">
              <w:rPr>
                <w:sz w:val="20"/>
                <w:szCs w:val="20"/>
                <w:lang w:val="hr-HR"/>
              </w:rPr>
              <w:t xml:space="preserve">MEDINI, J., </w:t>
            </w:r>
            <w:r w:rsidRPr="00675AB5">
              <w:rPr>
                <w:i/>
                <w:sz w:val="20"/>
                <w:szCs w:val="20"/>
                <w:lang w:val="hr-HR"/>
              </w:rPr>
              <w:t>Cognationes Salonitanae</w:t>
            </w:r>
            <w:r w:rsidRPr="00675AB5">
              <w:rPr>
                <w:sz w:val="20"/>
                <w:szCs w:val="20"/>
                <w:lang w:val="hr-HR"/>
              </w:rPr>
              <w:t xml:space="preserve">, </w:t>
            </w:r>
            <w:r w:rsidRPr="00675AB5">
              <w:rPr>
                <w:i/>
                <w:sz w:val="20"/>
                <w:szCs w:val="20"/>
                <w:lang w:val="hr-HR"/>
              </w:rPr>
              <w:t>GCBI</w:t>
            </w:r>
            <w:r w:rsidRPr="00675AB5">
              <w:rPr>
                <w:sz w:val="20"/>
                <w:szCs w:val="20"/>
                <w:lang w:val="hr-HR"/>
              </w:rPr>
              <w:t>, 23/21, Sarajevo, 1985.</w:t>
            </w:r>
          </w:p>
          <w:p w:rsidR="00EB7C15" w:rsidRPr="00675AB5" w:rsidRDefault="00EB7C15" w:rsidP="00D43DBC">
            <w:pPr>
              <w:spacing w:line="276" w:lineRule="auto"/>
              <w:jc w:val="both"/>
              <w:rPr>
                <w:sz w:val="20"/>
                <w:szCs w:val="20"/>
                <w:lang w:val="hr-HR"/>
              </w:rPr>
            </w:pPr>
            <w:r w:rsidRPr="00675AB5">
              <w:rPr>
                <w:sz w:val="20"/>
                <w:szCs w:val="20"/>
                <w:lang w:val="hr-HR"/>
              </w:rPr>
              <w:t xml:space="preserve">MEDINI, J., </w:t>
            </w:r>
            <w:r w:rsidRPr="00675AB5">
              <w:rPr>
                <w:i/>
                <w:sz w:val="20"/>
                <w:szCs w:val="20"/>
                <w:lang w:val="hr-HR"/>
              </w:rPr>
              <w:t>Metroaca Burnensia</w:t>
            </w:r>
            <w:r w:rsidRPr="00675AB5">
              <w:rPr>
                <w:sz w:val="20"/>
                <w:szCs w:val="20"/>
                <w:lang w:val="hr-HR"/>
              </w:rPr>
              <w:t xml:space="preserve">, </w:t>
            </w:r>
            <w:r w:rsidRPr="00675AB5">
              <w:rPr>
                <w:i/>
                <w:sz w:val="20"/>
                <w:szCs w:val="20"/>
                <w:lang w:val="hr-HR"/>
              </w:rPr>
              <w:t>Diadora</w:t>
            </w:r>
            <w:r w:rsidRPr="00675AB5">
              <w:rPr>
                <w:sz w:val="20"/>
                <w:szCs w:val="20"/>
                <w:lang w:val="hr-HR"/>
              </w:rPr>
              <w:t>, 11, Zadar, 1989.</w:t>
            </w:r>
          </w:p>
          <w:p w:rsidR="00EB7C15" w:rsidRPr="00675AB5" w:rsidRDefault="00EB7C15" w:rsidP="00D43DBC">
            <w:pPr>
              <w:spacing w:line="276" w:lineRule="auto"/>
              <w:jc w:val="both"/>
              <w:rPr>
                <w:sz w:val="20"/>
                <w:szCs w:val="20"/>
                <w:lang w:val="hr-HR"/>
              </w:rPr>
            </w:pPr>
            <w:r w:rsidRPr="00675AB5">
              <w:rPr>
                <w:sz w:val="20"/>
                <w:szCs w:val="20"/>
                <w:lang w:val="hr-HR"/>
              </w:rPr>
              <w:t xml:space="preserve">NEUMANN, J. K., Augustales, </w:t>
            </w:r>
            <w:r w:rsidRPr="00675AB5">
              <w:rPr>
                <w:i/>
                <w:sz w:val="20"/>
                <w:szCs w:val="20"/>
                <w:lang w:val="hr-HR"/>
              </w:rPr>
              <w:t>Paulys Realencyclopädie der classischen Altertumswissenschaft: neue Bearbeitung</w:t>
            </w:r>
            <w:r w:rsidRPr="00675AB5">
              <w:rPr>
                <w:sz w:val="20"/>
                <w:szCs w:val="20"/>
                <w:lang w:val="hr-HR"/>
              </w:rPr>
              <w:t>, II.2, Stuttgart, 1896.</w:t>
            </w:r>
          </w:p>
          <w:p w:rsidR="00EB7C15" w:rsidRPr="00675AB5" w:rsidRDefault="00EB7C15" w:rsidP="00D43DBC">
            <w:pPr>
              <w:spacing w:line="276" w:lineRule="auto"/>
              <w:jc w:val="both"/>
              <w:rPr>
                <w:bCs/>
                <w:sz w:val="20"/>
                <w:szCs w:val="20"/>
                <w:lang w:val="hr-HR"/>
              </w:rPr>
            </w:pPr>
            <w:r w:rsidRPr="00675AB5">
              <w:rPr>
                <w:sz w:val="20"/>
                <w:szCs w:val="20"/>
                <w:lang w:val="hr-HR"/>
              </w:rPr>
              <w:t xml:space="preserve">RÜPKE, J., </w:t>
            </w:r>
            <w:r w:rsidRPr="00675AB5">
              <w:rPr>
                <w:bCs/>
                <w:i/>
                <w:sz w:val="20"/>
                <w:szCs w:val="20"/>
                <w:lang w:val="hr-HR"/>
              </w:rPr>
              <w:t>Religion of the Romans</w:t>
            </w:r>
            <w:r w:rsidRPr="00675AB5">
              <w:rPr>
                <w:bCs/>
                <w:sz w:val="20"/>
                <w:szCs w:val="20"/>
                <w:lang w:val="hr-HR"/>
              </w:rPr>
              <w:t>, Cambridge, 2007.</w:t>
            </w:r>
          </w:p>
          <w:p w:rsidR="00EB7C15" w:rsidRPr="00675AB5" w:rsidRDefault="00EB7C15" w:rsidP="00D43DBC">
            <w:pPr>
              <w:spacing w:line="276" w:lineRule="auto"/>
              <w:jc w:val="both"/>
              <w:rPr>
                <w:sz w:val="20"/>
                <w:szCs w:val="20"/>
                <w:lang w:val="hr-HR"/>
              </w:rPr>
            </w:pPr>
            <w:r w:rsidRPr="00675AB5">
              <w:rPr>
                <w:bCs/>
                <w:sz w:val="20"/>
                <w:szCs w:val="20"/>
                <w:lang w:val="hr-HR"/>
              </w:rPr>
              <w:t xml:space="preserve">SAMTER, H., Flamines, </w:t>
            </w:r>
            <w:r w:rsidRPr="00675AB5">
              <w:rPr>
                <w:i/>
                <w:sz w:val="20"/>
                <w:szCs w:val="20"/>
                <w:lang w:val="hr-HR"/>
              </w:rPr>
              <w:t>Paulys Realencyclopädie der classischen Altertumswissenschaft: neue Bearbeitung</w:t>
            </w:r>
            <w:r w:rsidRPr="00675AB5">
              <w:rPr>
                <w:sz w:val="20"/>
                <w:szCs w:val="20"/>
                <w:lang w:val="hr-HR"/>
              </w:rPr>
              <w:t>, VI.2, Stuttgart, 1909.</w:t>
            </w:r>
          </w:p>
          <w:p w:rsidR="00EB7C15" w:rsidRPr="00675AB5" w:rsidRDefault="00EB7C15" w:rsidP="00D43DBC">
            <w:pPr>
              <w:spacing w:line="276" w:lineRule="auto"/>
              <w:jc w:val="both"/>
              <w:rPr>
                <w:sz w:val="20"/>
                <w:szCs w:val="20"/>
                <w:lang w:val="hr-HR"/>
              </w:rPr>
            </w:pPr>
            <w:r w:rsidRPr="00675AB5">
              <w:rPr>
                <w:sz w:val="20"/>
                <w:szCs w:val="20"/>
                <w:lang w:val="hr-HR"/>
              </w:rPr>
              <w:t xml:space="preserve">SELEM, P., Egipatski bogovi u rimskom Iliriku, </w:t>
            </w:r>
            <w:r w:rsidRPr="00675AB5">
              <w:rPr>
                <w:i/>
                <w:sz w:val="20"/>
                <w:szCs w:val="20"/>
                <w:lang w:val="hr-HR"/>
              </w:rPr>
              <w:t>GCBI</w:t>
            </w:r>
            <w:r w:rsidRPr="00675AB5">
              <w:rPr>
                <w:sz w:val="20"/>
                <w:szCs w:val="20"/>
                <w:lang w:val="hr-HR"/>
              </w:rPr>
              <w:t>, IX/7, Sarajevo, 1972.</w:t>
            </w:r>
          </w:p>
          <w:p w:rsidR="00EB7C15" w:rsidRPr="00675AB5" w:rsidRDefault="00EB7C15" w:rsidP="00D43DBC">
            <w:pPr>
              <w:spacing w:line="276" w:lineRule="auto"/>
              <w:jc w:val="both"/>
              <w:rPr>
                <w:sz w:val="20"/>
                <w:szCs w:val="20"/>
                <w:lang w:val="hr-HR"/>
              </w:rPr>
            </w:pPr>
            <w:r w:rsidRPr="00675AB5">
              <w:rPr>
                <w:sz w:val="20"/>
                <w:szCs w:val="20"/>
                <w:lang w:val="hr-HR"/>
              </w:rPr>
              <w:t xml:space="preserve">SELEM, P., </w:t>
            </w:r>
            <w:r w:rsidRPr="00675AB5">
              <w:rPr>
                <w:i/>
                <w:iCs/>
                <w:sz w:val="20"/>
                <w:szCs w:val="20"/>
                <w:lang w:val="hr-HR"/>
              </w:rPr>
              <w:t>Izidin trag. Egipatski kultni spomenici u rimskom Iliriku</w:t>
            </w:r>
            <w:r w:rsidRPr="00675AB5">
              <w:rPr>
                <w:sz w:val="20"/>
                <w:szCs w:val="20"/>
                <w:lang w:val="hr-HR"/>
              </w:rPr>
              <w:t>, Split, 1997.</w:t>
            </w:r>
          </w:p>
          <w:p w:rsidR="00EB7C15" w:rsidRPr="00675AB5" w:rsidRDefault="00EB7C15" w:rsidP="00D43DBC">
            <w:pPr>
              <w:spacing w:line="276" w:lineRule="auto"/>
              <w:jc w:val="both"/>
              <w:rPr>
                <w:sz w:val="20"/>
                <w:szCs w:val="20"/>
                <w:lang w:val="hr-HR"/>
              </w:rPr>
            </w:pPr>
            <w:r w:rsidRPr="00675AB5">
              <w:rPr>
                <w:sz w:val="20"/>
                <w:szCs w:val="20"/>
                <w:lang w:val="hr-HR"/>
              </w:rPr>
              <w:t xml:space="preserve">SIMON, E., </w:t>
            </w:r>
            <w:r w:rsidRPr="00675AB5">
              <w:rPr>
                <w:i/>
                <w:sz w:val="20"/>
                <w:szCs w:val="20"/>
                <w:lang w:val="hr-HR"/>
              </w:rPr>
              <w:t>Die Götter der Römer</w:t>
            </w:r>
            <w:r w:rsidRPr="00675AB5">
              <w:rPr>
                <w:sz w:val="20"/>
                <w:szCs w:val="20"/>
                <w:lang w:val="hr-HR"/>
              </w:rPr>
              <w:t>, München, 1990.</w:t>
            </w:r>
          </w:p>
          <w:p w:rsidR="00EB7C15" w:rsidRPr="00675AB5" w:rsidRDefault="00EB7C15" w:rsidP="00D43DBC">
            <w:pPr>
              <w:spacing w:line="276" w:lineRule="auto"/>
              <w:jc w:val="both"/>
              <w:rPr>
                <w:sz w:val="20"/>
                <w:szCs w:val="20"/>
                <w:lang w:val="hr-HR"/>
              </w:rPr>
            </w:pPr>
            <w:r w:rsidRPr="00675AB5">
              <w:rPr>
                <w:sz w:val="20"/>
                <w:szCs w:val="20"/>
                <w:lang w:val="hr-HR"/>
              </w:rPr>
              <w:t xml:space="preserve">STARAC, A., </w:t>
            </w:r>
            <w:r w:rsidRPr="00675AB5">
              <w:rPr>
                <w:i/>
                <w:sz w:val="20"/>
                <w:szCs w:val="20"/>
                <w:lang w:val="hr-HR"/>
              </w:rPr>
              <w:t xml:space="preserve">Rimsko vladanje u Histriji i Liburniji. Društveno i pravno uređenje prema literarnoj, natpisnoj i arheološkoj građi, </w:t>
            </w:r>
            <w:r w:rsidRPr="00675AB5">
              <w:rPr>
                <w:sz w:val="20"/>
                <w:szCs w:val="20"/>
                <w:lang w:val="hr-HR"/>
              </w:rPr>
              <w:t>Pula, 2000.</w:t>
            </w:r>
          </w:p>
          <w:p w:rsidR="00EB7C15" w:rsidRPr="00675AB5" w:rsidRDefault="00EB7C15" w:rsidP="00D43DBC">
            <w:pPr>
              <w:spacing w:line="276" w:lineRule="auto"/>
              <w:jc w:val="both"/>
              <w:rPr>
                <w:sz w:val="20"/>
                <w:szCs w:val="20"/>
                <w:lang w:val="hr-HR"/>
              </w:rPr>
            </w:pPr>
            <w:r w:rsidRPr="00675AB5">
              <w:rPr>
                <w:sz w:val="20"/>
                <w:szCs w:val="20"/>
                <w:lang w:val="hr-HR"/>
              </w:rPr>
              <w:t xml:space="preserve">THULIN, C. O., Haruspices, </w:t>
            </w:r>
            <w:r w:rsidRPr="00675AB5">
              <w:rPr>
                <w:i/>
                <w:sz w:val="20"/>
                <w:szCs w:val="20"/>
                <w:lang w:val="hr-HR"/>
              </w:rPr>
              <w:t>Paulys Realencyclopädie der classischen Altertumswissenschaft: neue Bearbeitung</w:t>
            </w:r>
            <w:r w:rsidRPr="00675AB5">
              <w:rPr>
                <w:sz w:val="20"/>
                <w:szCs w:val="20"/>
                <w:lang w:val="hr-HR"/>
              </w:rPr>
              <w:t>, VII.2, Stuttgart, 1912.</w:t>
            </w:r>
          </w:p>
          <w:p w:rsidR="00EB7C15" w:rsidRPr="00675AB5" w:rsidRDefault="00EB7C15" w:rsidP="00D43DBC">
            <w:pPr>
              <w:spacing w:line="276" w:lineRule="auto"/>
              <w:jc w:val="both"/>
              <w:rPr>
                <w:sz w:val="20"/>
                <w:szCs w:val="20"/>
                <w:lang w:val="hr-HR"/>
              </w:rPr>
            </w:pPr>
            <w:r w:rsidRPr="00675AB5">
              <w:rPr>
                <w:sz w:val="20"/>
                <w:szCs w:val="20"/>
                <w:lang w:val="hr-HR"/>
              </w:rPr>
              <w:lastRenderedPageBreak/>
              <w:t xml:space="preserve">WISSOWA, G., Arvales fratres, </w:t>
            </w:r>
            <w:r w:rsidRPr="00675AB5">
              <w:rPr>
                <w:i/>
                <w:sz w:val="20"/>
                <w:szCs w:val="20"/>
                <w:lang w:val="hr-HR"/>
              </w:rPr>
              <w:t>Paulys Realencyclopädie der classischen Altertumswissenschaft: neue Bearbeitung</w:t>
            </w:r>
            <w:r w:rsidRPr="00675AB5">
              <w:rPr>
                <w:sz w:val="20"/>
                <w:szCs w:val="20"/>
                <w:lang w:val="hr-HR"/>
              </w:rPr>
              <w:t>, II.2, Stuttgart, 1896.</w:t>
            </w:r>
          </w:p>
          <w:p w:rsidR="00EB7C15" w:rsidRPr="00675AB5" w:rsidRDefault="00EB7C15" w:rsidP="00D43DBC">
            <w:pPr>
              <w:spacing w:line="276" w:lineRule="auto"/>
              <w:jc w:val="both"/>
              <w:rPr>
                <w:sz w:val="20"/>
                <w:szCs w:val="20"/>
                <w:lang w:val="hr-HR"/>
              </w:rPr>
            </w:pPr>
            <w:r w:rsidRPr="00675AB5">
              <w:rPr>
                <w:sz w:val="20"/>
                <w:szCs w:val="20"/>
                <w:lang w:val="hr-HR"/>
              </w:rPr>
              <w:t xml:space="preserve">WISSOWA, G., Augures, </w:t>
            </w:r>
            <w:r w:rsidRPr="00675AB5">
              <w:rPr>
                <w:i/>
                <w:sz w:val="20"/>
                <w:szCs w:val="20"/>
                <w:lang w:val="hr-HR"/>
              </w:rPr>
              <w:t>Paulys Realencyclopädie der classischen Altertumswissenschaft: neue Bearbeitung</w:t>
            </w:r>
            <w:r w:rsidRPr="00675AB5">
              <w:rPr>
                <w:sz w:val="20"/>
                <w:szCs w:val="20"/>
                <w:lang w:val="hr-HR"/>
              </w:rPr>
              <w:t>, II.2, Stuttgart, 1896.</w:t>
            </w:r>
          </w:p>
          <w:p w:rsidR="00EB7C15" w:rsidRPr="00675AB5" w:rsidRDefault="00EB7C15" w:rsidP="00D43DBC">
            <w:pPr>
              <w:spacing w:line="276" w:lineRule="auto"/>
              <w:jc w:val="both"/>
              <w:rPr>
                <w:sz w:val="20"/>
                <w:szCs w:val="20"/>
                <w:lang w:val="hr-HR"/>
              </w:rPr>
            </w:pPr>
            <w:r w:rsidRPr="00675AB5">
              <w:rPr>
                <w:sz w:val="20"/>
                <w:szCs w:val="20"/>
                <w:lang w:val="hr-HR"/>
              </w:rPr>
              <w:t xml:space="preserve">ZANINOVIĆ, M., Kult Afrodite i Venere na tadašnjoj hrvatskoj obali, </w:t>
            </w:r>
            <w:r w:rsidRPr="00675AB5">
              <w:rPr>
                <w:i/>
                <w:sz w:val="20"/>
                <w:szCs w:val="20"/>
                <w:lang w:val="hr-HR"/>
              </w:rPr>
              <w:t>Histria Antiqua</w:t>
            </w:r>
            <w:r w:rsidRPr="00675AB5">
              <w:rPr>
                <w:sz w:val="20"/>
                <w:szCs w:val="20"/>
                <w:lang w:val="hr-HR"/>
              </w:rPr>
              <w:t>, 13, Pula, 2005.</w:t>
            </w:r>
          </w:p>
          <w:p w:rsidR="00EB7C15" w:rsidRPr="00675AB5" w:rsidRDefault="00EB7C15" w:rsidP="00D43DBC">
            <w:pPr>
              <w:spacing w:line="276" w:lineRule="auto"/>
              <w:jc w:val="both"/>
              <w:rPr>
                <w:sz w:val="20"/>
                <w:szCs w:val="20"/>
                <w:lang w:val="hr-HR"/>
              </w:rPr>
            </w:pPr>
          </w:p>
          <w:p w:rsidR="00EB7C15" w:rsidRPr="00675AB5" w:rsidRDefault="00EB7C15" w:rsidP="00D43DBC">
            <w:pPr>
              <w:spacing w:line="276" w:lineRule="auto"/>
              <w:jc w:val="both"/>
              <w:rPr>
                <w:sz w:val="20"/>
                <w:szCs w:val="20"/>
                <w:lang w:val="hr-HR"/>
              </w:rPr>
            </w:pPr>
          </w:p>
        </w:tc>
      </w:tr>
      <w:tr w:rsidR="00EB7C15" w:rsidRPr="00675AB5" w:rsidTr="00D43DBC">
        <w:tc>
          <w:tcPr>
            <w:tcW w:w="9180" w:type="dxa"/>
            <w:gridSpan w:val="14"/>
          </w:tcPr>
          <w:p w:rsidR="00EB7C15" w:rsidRPr="00675AB5" w:rsidRDefault="00EB7C15" w:rsidP="00D43DBC">
            <w:pPr>
              <w:spacing w:line="276" w:lineRule="auto"/>
              <w:rPr>
                <w:b/>
                <w:bCs/>
                <w:sz w:val="20"/>
                <w:szCs w:val="20"/>
                <w:lang w:val="hr-HR"/>
              </w:rPr>
            </w:pPr>
            <w:r w:rsidRPr="00675AB5">
              <w:rPr>
                <w:b/>
                <w:bCs/>
                <w:sz w:val="20"/>
                <w:szCs w:val="20"/>
                <w:lang w:val="hr-HR"/>
              </w:rPr>
              <w:lastRenderedPageBreak/>
              <w:t>Dopunska:</w:t>
            </w:r>
            <w:r w:rsidRPr="00675AB5">
              <w:rPr>
                <w:bCs/>
                <w:sz w:val="20"/>
                <w:szCs w:val="20"/>
                <w:lang w:val="hr-HR"/>
              </w:rPr>
              <w:t>.</w:t>
            </w:r>
          </w:p>
          <w:p w:rsidR="00EB7C15" w:rsidRPr="00675AB5" w:rsidRDefault="00EB7C15" w:rsidP="00D43DBC">
            <w:pPr>
              <w:spacing w:line="276" w:lineRule="auto"/>
              <w:rPr>
                <w:bCs/>
                <w:sz w:val="20"/>
                <w:szCs w:val="20"/>
                <w:lang w:val="hr-HR"/>
              </w:rPr>
            </w:pPr>
            <w:r w:rsidRPr="00675AB5">
              <w:rPr>
                <w:bCs/>
                <w:sz w:val="20"/>
                <w:szCs w:val="20"/>
                <w:lang w:val="hr-HR"/>
              </w:rPr>
              <w:t xml:space="preserve">GIUNIO, K., </w:t>
            </w:r>
            <w:r w:rsidRPr="00675AB5">
              <w:rPr>
                <w:bCs/>
                <w:i/>
                <w:sz w:val="20"/>
                <w:szCs w:val="20"/>
                <w:lang w:val="hr-HR"/>
              </w:rPr>
              <w:t>Tipologija rimskih carskih hramova i njihov odraz na istočnoj obali Jadrana</w:t>
            </w:r>
            <w:r w:rsidRPr="00675AB5">
              <w:rPr>
                <w:bCs/>
                <w:sz w:val="20"/>
                <w:szCs w:val="20"/>
                <w:lang w:val="hr-HR"/>
              </w:rPr>
              <w:t>, Sveučilište u Zagrebu (magisterij), Zagreb, 1997.</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GLAVIČIĆ, M., </w:t>
            </w:r>
            <w:r w:rsidRPr="00675AB5">
              <w:rPr>
                <w:bCs/>
                <w:i/>
                <w:sz w:val="20"/>
                <w:szCs w:val="20"/>
                <w:lang w:val="hr-HR"/>
              </w:rPr>
              <w:t>Gradski dužnosnici na natpisima obalnog područja rimske provincije Dalmacije</w:t>
            </w:r>
            <w:r w:rsidRPr="00675AB5">
              <w:rPr>
                <w:bCs/>
                <w:sz w:val="20"/>
                <w:szCs w:val="20"/>
                <w:lang w:val="hr-HR"/>
              </w:rPr>
              <w:t>, Sveučilište u Zadru, (disertacija), Zadar, 2002.</w:t>
            </w:r>
          </w:p>
          <w:p w:rsidR="00EB7C15" w:rsidRPr="00675AB5" w:rsidRDefault="00EB7C15" w:rsidP="00D43DBC">
            <w:pPr>
              <w:spacing w:line="276" w:lineRule="auto"/>
              <w:rPr>
                <w:bCs/>
                <w:sz w:val="20"/>
                <w:szCs w:val="20"/>
                <w:lang w:val="hr-HR"/>
              </w:rPr>
            </w:pPr>
            <w:r w:rsidRPr="00675AB5">
              <w:rPr>
                <w:bCs/>
                <w:sz w:val="20"/>
                <w:szCs w:val="20"/>
                <w:lang w:val="hr-HR"/>
              </w:rPr>
              <w:t xml:space="preserve">KOLEGA, M., </w:t>
            </w:r>
            <w:r w:rsidRPr="00675AB5">
              <w:rPr>
                <w:bCs/>
                <w:i/>
                <w:sz w:val="20"/>
                <w:szCs w:val="20"/>
                <w:lang w:val="hr-HR"/>
              </w:rPr>
              <w:t>Antička kamena plastika u Liburniji od 1. do 4. st</w:t>
            </w:r>
            <w:r w:rsidRPr="00675AB5">
              <w:rPr>
                <w:bCs/>
                <w:sz w:val="20"/>
                <w:szCs w:val="20"/>
                <w:lang w:val="hr-HR"/>
              </w:rPr>
              <w:t>., Sveučilište u Zadru (disertacija), Zadar, 2003.</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LINDERSKI, J., The Augural Law, </w:t>
            </w:r>
            <w:r w:rsidRPr="00675AB5">
              <w:rPr>
                <w:bCs/>
                <w:i/>
                <w:sz w:val="20"/>
                <w:szCs w:val="20"/>
                <w:lang w:val="hr-HR"/>
              </w:rPr>
              <w:t>ANRW</w:t>
            </w:r>
            <w:r w:rsidRPr="00675AB5">
              <w:rPr>
                <w:bCs/>
                <w:sz w:val="20"/>
                <w:szCs w:val="20"/>
                <w:lang w:val="hr-HR"/>
              </w:rPr>
              <w:t>, II, 16.3, Berlin-New York, 1986.</w:t>
            </w:r>
          </w:p>
          <w:p w:rsidR="00EB7C15" w:rsidRPr="00675AB5" w:rsidRDefault="00EB7C15" w:rsidP="00D43DBC">
            <w:pPr>
              <w:spacing w:line="276" w:lineRule="auto"/>
              <w:jc w:val="both"/>
              <w:rPr>
                <w:sz w:val="20"/>
                <w:szCs w:val="20"/>
                <w:lang w:val="hr-HR"/>
              </w:rPr>
            </w:pPr>
            <w:r w:rsidRPr="00675AB5">
              <w:rPr>
                <w:sz w:val="20"/>
                <w:szCs w:val="20"/>
                <w:lang w:val="hr-HR"/>
              </w:rPr>
              <w:t xml:space="preserve">MELLOR, R. J., </w:t>
            </w:r>
            <w:r w:rsidRPr="00675AB5">
              <w:rPr>
                <w:i/>
                <w:sz w:val="20"/>
                <w:szCs w:val="20"/>
                <w:lang w:val="hr-HR"/>
              </w:rPr>
              <w:t>Thea Rome. The Worship of the Goddess Roma in the Greek World</w:t>
            </w:r>
            <w:r w:rsidRPr="00675AB5">
              <w:rPr>
                <w:sz w:val="20"/>
                <w:szCs w:val="20"/>
                <w:lang w:val="hr-HR"/>
              </w:rPr>
              <w:t>, Göttingen, 1975.</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MELLOR, R. J., The Goddess Roma, </w:t>
            </w:r>
            <w:r w:rsidRPr="00675AB5">
              <w:rPr>
                <w:bCs/>
                <w:i/>
                <w:sz w:val="20"/>
                <w:szCs w:val="20"/>
                <w:lang w:val="hr-HR"/>
              </w:rPr>
              <w:t>ANRW</w:t>
            </w:r>
            <w:r w:rsidRPr="00675AB5">
              <w:rPr>
                <w:bCs/>
                <w:sz w:val="20"/>
                <w:szCs w:val="20"/>
                <w:lang w:val="hr-HR"/>
              </w:rPr>
              <w:t>, II, 17.2, Berlin-New York, 1981.</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MILETIĆ, Ž., Prikaz Dioskura na brončanoj pločici iz Aserije, </w:t>
            </w:r>
            <w:r w:rsidRPr="00675AB5">
              <w:rPr>
                <w:bCs/>
                <w:i/>
                <w:sz w:val="20"/>
                <w:szCs w:val="20"/>
                <w:lang w:val="hr-HR"/>
              </w:rPr>
              <w:t>Asseria</w:t>
            </w:r>
            <w:r w:rsidRPr="00675AB5">
              <w:rPr>
                <w:bCs/>
                <w:sz w:val="20"/>
                <w:szCs w:val="20"/>
                <w:lang w:val="hr-HR"/>
              </w:rPr>
              <w:t>, 5, Zadar, 2007.</w:t>
            </w:r>
          </w:p>
          <w:p w:rsidR="00EB7C15" w:rsidRPr="00675AB5" w:rsidRDefault="00EB7C15" w:rsidP="00D43DBC">
            <w:pPr>
              <w:spacing w:line="276" w:lineRule="auto"/>
              <w:jc w:val="both"/>
              <w:rPr>
                <w:bCs/>
                <w:sz w:val="20"/>
                <w:szCs w:val="20"/>
                <w:lang w:val="hr-HR"/>
              </w:rPr>
            </w:pPr>
            <w:r w:rsidRPr="00675AB5">
              <w:rPr>
                <w:sz w:val="20"/>
                <w:szCs w:val="20"/>
                <w:lang w:val="hr-HR"/>
              </w:rPr>
              <w:t xml:space="preserve">PALADINO, I., </w:t>
            </w:r>
            <w:r w:rsidRPr="00675AB5">
              <w:rPr>
                <w:bCs/>
                <w:i/>
                <w:iCs/>
                <w:sz w:val="20"/>
                <w:szCs w:val="20"/>
                <w:lang w:val="hr-HR"/>
              </w:rPr>
              <w:t>Fratres Arvales. Storia di un collegio sacerdotale romano</w:t>
            </w:r>
            <w:r w:rsidRPr="00675AB5">
              <w:rPr>
                <w:bCs/>
                <w:sz w:val="20"/>
                <w:szCs w:val="20"/>
                <w:lang w:val="hr-HR"/>
              </w:rPr>
              <w:t>, Roma, 1988.</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PODRUG, E. - BRAJKOVIĆ, T. - KRNČEVIĆ, Ž., </w:t>
            </w:r>
            <w:r w:rsidRPr="00675AB5">
              <w:rPr>
                <w:bCs/>
                <w:i/>
                <w:sz w:val="20"/>
                <w:szCs w:val="20"/>
                <w:lang w:val="hr-HR"/>
              </w:rPr>
              <w:t>Arheološki tragovi kultova i religija na šibenskom području</w:t>
            </w:r>
            <w:r w:rsidRPr="00675AB5">
              <w:rPr>
                <w:bCs/>
                <w:sz w:val="20"/>
                <w:szCs w:val="20"/>
                <w:lang w:val="hr-HR"/>
              </w:rPr>
              <w:t>, Šibenik, 2008.</w:t>
            </w:r>
          </w:p>
          <w:p w:rsidR="00EB7C15" w:rsidRPr="00675AB5" w:rsidRDefault="00EB7C15" w:rsidP="00D43DBC">
            <w:pPr>
              <w:spacing w:line="276" w:lineRule="auto"/>
              <w:jc w:val="both"/>
              <w:rPr>
                <w:bCs/>
                <w:sz w:val="20"/>
                <w:szCs w:val="20"/>
                <w:lang w:val="hr-HR"/>
              </w:rPr>
            </w:pPr>
            <w:r w:rsidRPr="00675AB5">
              <w:rPr>
                <w:sz w:val="20"/>
                <w:szCs w:val="20"/>
                <w:lang w:val="hr-HR"/>
              </w:rPr>
              <w:t xml:space="preserve">RÜPKE, J., </w:t>
            </w:r>
            <w:r w:rsidRPr="00675AB5">
              <w:rPr>
                <w:bCs/>
                <w:i/>
                <w:sz w:val="20"/>
                <w:szCs w:val="20"/>
                <w:lang w:val="hr-HR"/>
              </w:rPr>
              <w:t>Fasti Sacerdotum. A Prosopography of Pagan, Jewish, and Christian Religous Officials in the City of Rome, 300 BC to AD 499</w:t>
            </w:r>
            <w:r w:rsidRPr="00675AB5">
              <w:rPr>
                <w:bCs/>
                <w:sz w:val="20"/>
                <w:szCs w:val="20"/>
                <w:lang w:val="hr-HR"/>
              </w:rPr>
              <w:t>, Oxford-New York, 2008.</w:t>
            </w:r>
          </w:p>
          <w:p w:rsidR="00EB7C15" w:rsidRPr="00675AB5" w:rsidRDefault="00EB7C15" w:rsidP="00D43DBC">
            <w:pPr>
              <w:spacing w:line="276" w:lineRule="auto"/>
              <w:jc w:val="both"/>
              <w:rPr>
                <w:bCs/>
                <w:sz w:val="20"/>
                <w:szCs w:val="20"/>
                <w:lang w:val="hr-HR"/>
              </w:rPr>
            </w:pPr>
            <w:r w:rsidRPr="00675AB5">
              <w:rPr>
                <w:bCs/>
                <w:sz w:val="20"/>
                <w:szCs w:val="20"/>
                <w:lang w:val="hr-HR"/>
              </w:rPr>
              <w:t xml:space="preserve">TURCAN, R., </w:t>
            </w:r>
            <w:r w:rsidRPr="00675AB5">
              <w:rPr>
                <w:bCs/>
                <w:i/>
                <w:sz w:val="20"/>
                <w:szCs w:val="20"/>
                <w:lang w:val="hr-HR"/>
              </w:rPr>
              <w:t>The Cults of the Roman Empire</w:t>
            </w:r>
            <w:r w:rsidRPr="00675AB5">
              <w:rPr>
                <w:bCs/>
                <w:sz w:val="20"/>
                <w:szCs w:val="20"/>
                <w:lang w:val="hr-HR"/>
              </w:rPr>
              <w:t>, Oxford, 1996.</w:t>
            </w:r>
          </w:p>
          <w:p w:rsidR="00EB7C15" w:rsidRPr="00675AB5" w:rsidRDefault="00EB7C15" w:rsidP="00D43DBC">
            <w:pPr>
              <w:spacing w:line="276" w:lineRule="auto"/>
              <w:jc w:val="both"/>
              <w:rPr>
                <w:sz w:val="20"/>
                <w:szCs w:val="20"/>
                <w:lang w:val="hr-HR"/>
              </w:rPr>
            </w:pPr>
            <w:r w:rsidRPr="00675AB5">
              <w:rPr>
                <w:sz w:val="20"/>
                <w:szCs w:val="20"/>
                <w:lang w:val="hr-HR"/>
              </w:rPr>
              <w:t xml:space="preserve">WILDFANG, R. L., </w:t>
            </w:r>
            <w:r w:rsidRPr="00675AB5">
              <w:rPr>
                <w:i/>
                <w:sz w:val="20"/>
                <w:szCs w:val="20"/>
                <w:lang w:val="hr-HR"/>
              </w:rPr>
              <w:t>Rome' s Vestal Virgins. A Study of Rome's Vestal Pristesses in the Late Republic and Early Empire</w:t>
            </w:r>
            <w:r w:rsidRPr="00675AB5">
              <w:rPr>
                <w:sz w:val="20"/>
                <w:szCs w:val="20"/>
                <w:lang w:val="hr-HR"/>
              </w:rPr>
              <w:t>, London-New York, 2006.</w:t>
            </w:r>
          </w:p>
          <w:p w:rsidR="00EB7C15" w:rsidRPr="00675AB5" w:rsidRDefault="00EB7C15" w:rsidP="00D43DBC">
            <w:pPr>
              <w:spacing w:line="276" w:lineRule="auto"/>
              <w:jc w:val="both"/>
              <w:rPr>
                <w:bCs/>
                <w:sz w:val="20"/>
                <w:szCs w:val="20"/>
                <w:lang w:val="hr-HR"/>
              </w:rPr>
            </w:pPr>
          </w:p>
        </w:tc>
      </w:tr>
      <w:tr w:rsidR="00EB7C15" w:rsidRPr="00675AB5" w:rsidTr="00D43DBC">
        <w:trPr>
          <w:cantSplit/>
        </w:trPr>
        <w:tc>
          <w:tcPr>
            <w:tcW w:w="4447" w:type="dxa"/>
            <w:gridSpan w:val="8"/>
          </w:tcPr>
          <w:p w:rsidR="00EB7C15" w:rsidRPr="00675AB5" w:rsidRDefault="00EB7C15" w:rsidP="00D43DBC">
            <w:pPr>
              <w:spacing w:line="276" w:lineRule="auto"/>
              <w:rPr>
                <w:sz w:val="20"/>
                <w:szCs w:val="20"/>
                <w:lang w:val="hr-HR"/>
              </w:rPr>
            </w:pPr>
            <w:r w:rsidRPr="00675AB5">
              <w:rPr>
                <w:sz w:val="20"/>
                <w:szCs w:val="20"/>
                <w:lang w:val="hr-HR"/>
              </w:rPr>
              <w:t xml:space="preserve">Registracija za slušanje kolegija: </w:t>
            </w:r>
            <w:r w:rsidRPr="00675AB5">
              <w:rPr>
                <w:b/>
                <w:bCs/>
                <w:sz w:val="20"/>
                <w:szCs w:val="20"/>
                <w:lang w:val="hr-HR"/>
              </w:rPr>
              <w:t>DA</w:t>
            </w:r>
          </w:p>
        </w:tc>
        <w:tc>
          <w:tcPr>
            <w:tcW w:w="4733" w:type="dxa"/>
            <w:gridSpan w:val="6"/>
          </w:tcPr>
          <w:p w:rsidR="00EB7C15" w:rsidRPr="00675AB5" w:rsidRDefault="00EB7C15" w:rsidP="00D43DBC">
            <w:pPr>
              <w:spacing w:line="276" w:lineRule="auto"/>
              <w:rPr>
                <w:sz w:val="20"/>
                <w:szCs w:val="20"/>
                <w:lang w:val="hr-HR"/>
              </w:rPr>
            </w:pPr>
            <w:r w:rsidRPr="00675AB5">
              <w:rPr>
                <w:sz w:val="20"/>
                <w:szCs w:val="20"/>
                <w:lang w:val="hr-HR"/>
              </w:rPr>
              <w:t>Registracija za ispit:</w:t>
            </w:r>
          </w:p>
        </w:tc>
      </w:tr>
      <w:tr w:rsidR="00EB7C15" w:rsidRPr="00675AB5" w:rsidTr="00D43DBC">
        <w:tc>
          <w:tcPr>
            <w:tcW w:w="9180" w:type="dxa"/>
            <w:gridSpan w:val="14"/>
          </w:tcPr>
          <w:p w:rsidR="00EB7C15" w:rsidRPr="00675AB5" w:rsidRDefault="00EB7C15" w:rsidP="00D43DBC">
            <w:pPr>
              <w:spacing w:line="276" w:lineRule="auto"/>
              <w:rPr>
                <w:b/>
                <w:bCs/>
                <w:smallCaps/>
                <w:sz w:val="20"/>
                <w:szCs w:val="20"/>
                <w:lang w:val="hr-HR"/>
              </w:rPr>
            </w:pPr>
            <w:r w:rsidRPr="00675AB5">
              <w:rPr>
                <w:b/>
                <w:bCs/>
                <w:smallCaps/>
                <w:sz w:val="20"/>
                <w:szCs w:val="20"/>
                <w:lang w:val="hr-HR"/>
              </w:rPr>
              <w:t>Preduvjeti za upis kolegija:</w:t>
            </w:r>
          </w:p>
        </w:tc>
      </w:tr>
      <w:tr w:rsidR="00EB7C15" w:rsidRPr="0066173E" w:rsidTr="00D43DBC">
        <w:tc>
          <w:tcPr>
            <w:tcW w:w="9180" w:type="dxa"/>
            <w:gridSpan w:val="14"/>
          </w:tcPr>
          <w:p w:rsidR="00EB7C15" w:rsidRPr="00675AB5" w:rsidRDefault="00EB7C15" w:rsidP="00EB7C15">
            <w:pPr>
              <w:numPr>
                <w:ilvl w:val="0"/>
                <w:numId w:val="2"/>
              </w:numPr>
              <w:spacing w:line="276" w:lineRule="auto"/>
              <w:ind w:left="0" w:firstLine="0"/>
              <w:rPr>
                <w:sz w:val="20"/>
                <w:szCs w:val="20"/>
                <w:lang w:val="hr-HR"/>
              </w:rPr>
            </w:pPr>
            <w:r w:rsidRPr="00675AB5">
              <w:rPr>
                <w:b/>
                <w:bCs/>
                <w:smallCaps/>
                <w:sz w:val="20"/>
                <w:szCs w:val="20"/>
                <w:lang w:val="hr-HR"/>
              </w:rPr>
              <w:t>referentni radovi nastavnika za kolegij:</w:t>
            </w:r>
          </w:p>
          <w:p w:rsidR="00EB7C15" w:rsidRPr="00675AB5" w:rsidRDefault="00EB7C15" w:rsidP="00D43DBC">
            <w:pPr>
              <w:tabs>
                <w:tab w:val="left" w:pos="851"/>
              </w:tabs>
              <w:spacing w:line="276" w:lineRule="auto"/>
              <w:jc w:val="both"/>
              <w:rPr>
                <w:color w:val="000000"/>
                <w:sz w:val="20"/>
                <w:szCs w:val="20"/>
                <w:lang w:val="hr-HR"/>
              </w:rPr>
            </w:pPr>
            <w:r w:rsidRPr="00675AB5">
              <w:rPr>
                <w:color w:val="000000"/>
                <w:sz w:val="20"/>
                <w:szCs w:val="20"/>
                <w:lang w:val="hr-HR"/>
              </w:rPr>
              <w:t xml:space="preserve">I. Jadrić:  Svečanosti u čast boga Libera u Seniji i Saloni, </w:t>
            </w:r>
            <w:r w:rsidRPr="00675AB5">
              <w:rPr>
                <w:i/>
                <w:color w:val="000000"/>
                <w:sz w:val="20"/>
                <w:szCs w:val="20"/>
                <w:lang w:val="hr-HR"/>
              </w:rPr>
              <w:t>HA</w:t>
            </w:r>
            <w:r w:rsidRPr="00675AB5">
              <w:rPr>
                <w:color w:val="000000"/>
                <w:sz w:val="20"/>
                <w:szCs w:val="20"/>
                <w:lang w:val="hr-HR"/>
              </w:rPr>
              <w:t>, 16, Pula, 2008.</w:t>
            </w:r>
          </w:p>
          <w:p w:rsidR="00EB7C15" w:rsidRPr="00675AB5" w:rsidRDefault="00EB7C15" w:rsidP="00D43DBC">
            <w:pPr>
              <w:spacing w:line="276" w:lineRule="auto"/>
              <w:rPr>
                <w:bCs/>
                <w:sz w:val="20"/>
                <w:szCs w:val="20"/>
                <w:lang w:val="hr-HR"/>
              </w:rPr>
            </w:pPr>
            <w:r w:rsidRPr="00675AB5">
              <w:rPr>
                <w:bCs/>
                <w:sz w:val="20"/>
                <w:szCs w:val="20"/>
                <w:lang w:val="hr-HR"/>
              </w:rPr>
              <w:t xml:space="preserve">I. Jadrić – Ž. Miletić: Liburnski carski kult, </w:t>
            </w:r>
            <w:r w:rsidRPr="00675AB5">
              <w:rPr>
                <w:bCs/>
                <w:i/>
                <w:sz w:val="20"/>
                <w:szCs w:val="20"/>
                <w:lang w:val="hr-HR"/>
              </w:rPr>
              <w:t>Archaelogia Adriatica</w:t>
            </w:r>
            <w:r w:rsidRPr="00675AB5">
              <w:rPr>
                <w:bCs/>
                <w:sz w:val="20"/>
                <w:szCs w:val="20"/>
                <w:lang w:val="hr-HR"/>
              </w:rPr>
              <w:t>, Zadar, 2008.</w:t>
            </w:r>
          </w:p>
          <w:p w:rsidR="00EB7C15" w:rsidRPr="00675AB5" w:rsidRDefault="00EB7C15" w:rsidP="00D43DBC">
            <w:pPr>
              <w:spacing w:line="276" w:lineRule="auto"/>
              <w:rPr>
                <w:bCs/>
                <w:sz w:val="20"/>
                <w:szCs w:val="20"/>
                <w:lang w:val="hr-HR"/>
              </w:rPr>
            </w:pPr>
            <w:r w:rsidRPr="00675AB5">
              <w:rPr>
                <w:bCs/>
                <w:sz w:val="20"/>
                <w:szCs w:val="20"/>
                <w:lang w:val="hr-HR"/>
              </w:rPr>
              <w:t xml:space="preserve">I. Jadrić-Kučan: </w:t>
            </w:r>
            <w:r w:rsidRPr="00675AB5">
              <w:rPr>
                <w:bCs/>
                <w:i/>
                <w:sz w:val="20"/>
                <w:szCs w:val="20"/>
                <w:lang w:val="hr-HR"/>
              </w:rPr>
              <w:t>Carski kult u rimskoj provinciji Dalmaciji</w:t>
            </w:r>
            <w:r w:rsidRPr="00675AB5">
              <w:rPr>
                <w:bCs/>
                <w:sz w:val="20"/>
                <w:szCs w:val="20"/>
                <w:lang w:val="hr-HR"/>
              </w:rPr>
              <w:t>, Sveučilište u Zadru (disertacija),  Zadar, 2011.</w:t>
            </w:r>
          </w:p>
          <w:p w:rsidR="00EB7C15" w:rsidRPr="00675AB5" w:rsidRDefault="00EB7C15" w:rsidP="00D43DBC">
            <w:pPr>
              <w:spacing w:line="276" w:lineRule="auto"/>
              <w:rPr>
                <w:bCs/>
                <w:sz w:val="20"/>
                <w:szCs w:val="20"/>
                <w:lang w:val="hr-HR"/>
              </w:rPr>
            </w:pPr>
            <w:r w:rsidRPr="00675AB5">
              <w:rPr>
                <w:bCs/>
                <w:sz w:val="20"/>
                <w:szCs w:val="20"/>
                <w:lang w:val="hr-HR"/>
              </w:rPr>
              <w:t xml:space="preserve">I. Jadrić-Kučan: Kult božice Rome u rimskoj provinciji Dalmaciji, </w:t>
            </w:r>
            <w:r w:rsidRPr="00675AB5">
              <w:rPr>
                <w:bCs/>
                <w:i/>
                <w:sz w:val="20"/>
                <w:szCs w:val="20"/>
                <w:lang w:val="hr-HR"/>
              </w:rPr>
              <w:t>VAPD</w:t>
            </w:r>
            <w:r w:rsidRPr="00675AB5">
              <w:rPr>
                <w:bCs/>
                <w:sz w:val="20"/>
                <w:szCs w:val="20"/>
                <w:lang w:val="hr-HR"/>
              </w:rPr>
              <w:t>, 104, Split, 2011.</w:t>
            </w:r>
          </w:p>
          <w:p w:rsidR="00EB7C15" w:rsidRPr="00675AB5" w:rsidRDefault="00EB7C15" w:rsidP="00D43DBC">
            <w:pPr>
              <w:spacing w:line="276" w:lineRule="auto"/>
              <w:rPr>
                <w:bCs/>
                <w:sz w:val="20"/>
                <w:szCs w:val="20"/>
                <w:lang w:val="hr-HR"/>
              </w:rPr>
            </w:pPr>
            <w:r w:rsidRPr="00675AB5">
              <w:rPr>
                <w:bCs/>
                <w:sz w:val="20"/>
                <w:szCs w:val="20"/>
                <w:lang w:val="hr-HR"/>
              </w:rPr>
              <w:t xml:space="preserve">I. Jadrić-Kučan: Pokrajinski carski kult u rimskoj provinciji Dalmaciji, </w:t>
            </w:r>
            <w:r w:rsidRPr="00675AB5">
              <w:rPr>
                <w:bCs/>
                <w:i/>
                <w:sz w:val="20"/>
                <w:szCs w:val="20"/>
                <w:lang w:val="hr-HR"/>
              </w:rPr>
              <w:t>VAPD</w:t>
            </w:r>
            <w:r w:rsidRPr="00675AB5">
              <w:rPr>
                <w:bCs/>
                <w:sz w:val="20"/>
                <w:szCs w:val="20"/>
                <w:lang w:val="hr-HR"/>
              </w:rPr>
              <w:t>, 105, Split, 2012.</w:t>
            </w:r>
          </w:p>
          <w:p w:rsidR="00EB7C15" w:rsidRPr="00675AB5" w:rsidRDefault="00EB7C15" w:rsidP="00D43DBC">
            <w:pPr>
              <w:autoSpaceDE w:val="0"/>
              <w:autoSpaceDN w:val="0"/>
              <w:adjustRightInd w:val="0"/>
              <w:spacing w:line="276" w:lineRule="auto"/>
              <w:rPr>
                <w:sz w:val="20"/>
                <w:szCs w:val="20"/>
                <w:lang w:val="hr-HR"/>
              </w:rPr>
            </w:pPr>
          </w:p>
        </w:tc>
      </w:tr>
    </w:tbl>
    <w:p w:rsidR="002455B8" w:rsidRDefault="002455B8"/>
    <w:sectPr w:rsidR="00245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D70C9"/>
    <w:multiLevelType w:val="hybridMultilevel"/>
    <w:tmpl w:val="B7DE315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nsid w:val="59F67876"/>
    <w:multiLevelType w:val="hybridMultilevel"/>
    <w:tmpl w:val="30F0C6C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D5"/>
    <w:rsid w:val="002455B8"/>
    <w:rsid w:val="003C4057"/>
    <w:rsid w:val="005727DA"/>
    <w:rsid w:val="007D54A0"/>
    <w:rsid w:val="00865CA9"/>
    <w:rsid w:val="00903ED4"/>
    <w:rsid w:val="00996565"/>
    <w:rsid w:val="00D25FB2"/>
    <w:rsid w:val="00D338D5"/>
    <w:rsid w:val="00EA055C"/>
    <w:rsid w:val="00EB7C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95530-0087-4157-8E3E-85FEA241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15"/>
    <w:pPr>
      <w:spacing w:after="0" w:line="240" w:lineRule="auto"/>
    </w:pPr>
    <w:rPr>
      <w:rFonts w:ascii="Times New Roman" w:eastAsia="Times New Roman" w:hAnsi="Times New Roman" w:cs="Times New Roman"/>
      <w:sz w:val="24"/>
      <w:szCs w:val="24"/>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stutic</dc:creator>
  <cp:keywords/>
  <dc:description/>
  <cp:lastModifiedBy>stutic</cp:lastModifiedBy>
  <cp:revision>2</cp:revision>
  <dcterms:created xsi:type="dcterms:W3CDTF">2017-11-02T09:31:00Z</dcterms:created>
  <dcterms:modified xsi:type="dcterms:W3CDTF">2017-11-02T09:31:00Z</dcterms:modified>
</cp:coreProperties>
</file>