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231"/>
        <w:gridCol w:w="407"/>
        <w:gridCol w:w="556"/>
        <w:gridCol w:w="244"/>
        <w:gridCol w:w="240"/>
        <w:gridCol w:w="898"/>
        <w:gridCol w:w="345"/>
        <w:gridCol w:w="967"/>
        <w:gridCol w:w="482"/>
        <w:gridCol w:w="708"/>
        <w:gridCol w:w="497"/>
        <w:gridCol w:w="222"/>
        <w:gridCol w:w="1884"/>
      </w:tblGrid>
      <w:tr w:rsidR="001665A2" w:rsidRPr="00675AB5" w:rsidTr="00D43DBC">
        <w:tc>
          <w:tcPr>
            <w:tcW w:w="9286" w:type="dxa"/>
            <w:gridSpan w:val="14"/>
            <w:vAlign w:val="center"/>
          </w:tcPr>
          <w:p w:rsidR="001665A2" w:rsidRPr="00675AB5" w:rsidRDefault="001665A2" w:rsidP="00D43DBC">
            <w:pPr>
              <w:spacing w:line="276" w:lineRule="auto"/>
              <w:jc w:val="center"/>
              <w:rPr>
                <w:b/>
                <w:bCs/>
                <w:sz w:val="20"/>
                <w:szCs w:val="20"/>
                <w:lang w:val="hr-HR"/>
              </w:rPr>
            </w:pPr>
            <w:r w:rsidRPr="00675AB5">
              <w:rPr>
                <w:b/>
                <w:bCs/>
                <w:sz w:val="20"/>
                <w:szCs w:val="20"/>
                <w:lang w:val="hr-HR"/>
              </w:rPr>
              <w:t xml:space="preserve">1. godina </w:t>
            </w:r>
          </w:p>
        </w:tc>
      </w:tr>
      <w:tr w:rsidR="001665A2" w:rsidRPr="0066173E" w:rsidTr="00D43DBC">
        <w:tc>
          <w:tcPr>
            <w:tcW w:w="9286" w:type="dxa"/>
            <w:gridSpan w:val="14"/>
          </w:tcPr>
          <w:p w:rsidR="001665A2" w:rsidRPr="00675AB5" w:rsidRDefault="001665A2" w:rsidP="00D43DBC">
            <w:pPr>
              <w:spacing w:line="276" w:lineRule="auto"/>
              <w:rPr>
                <w:sz w:val="20"/>
                <w:szCs w:val="20"/>
                <w:lang w:val="hr-HR"/>
              </w:rPr>
            </w:pPr>
            <w:r w:rsidRPr="00675AB5">
              <w:rPr>
                <w:b/>
                <w:bCs/>
                <w:smallCaps/>
                <w:sz w:val="20"/>
                <w:szCs w:val="20"/>
                <w:lang w:val="hr-HR"/>
              </w:rPr>
              <w:t>Naziv kolegija:</w:t>
            </w:r>
            <w:r w:rsidRPr="00675AB5">
              <w:rPr>
                <w:sz w:val="20"/>
                <w:szCs w:val="20"/>
                <w:lang w:val="hr-HR"/>
              </w:rPr>
              <w:t xml:space="preserve">  </w:t>
            </w:r>
            <w:bookmarkStart w:id="0" w:name="_GoBack"/>
            <w:r w:rsidRPr="00675AB5">
              <w:rPr>
                <w:b/>
                <w:bCs/>
                <w:sz w:val="20"/>
                <w:szCs w:val="20"/>
                <w:lang w:val="hr-HR"/>
              </w:rPr>
              <w:t>Musterijenska kultura na istočnoj obali Jadrana</w:t>
            </w:r>
            <w:bookmarkEnd w:id="0"/>
          </w:p>
        </w:tc>
      </w:tr>
      <w:tr w:rsidR="001665A2" w:rsidRPr="00675AB5" w:rsidTr="00D43DBC">
        <w:tc>
          <w:tcPr>
            <w:tcW w:w="9286" w:type="dxa"/>
            <w:gridSpan w:val="14"/>
          </w:tcPr>
          <w:p w:rsidR="001665A2" w:rsidRPr="00675AB5" w:rsidRDefault="001665A2" w:rsidP="00D43DBC">
            <w:pPr>
              <w:spacing w:line="276" w:lineRule="auto"/>
              <w:rPr>
                <w:sz w:val="20"/>
                <w:szCs w:val="20"/>
                <w:lang w:val="hr-HR"/>
              </w:rPr>
            </w:pPr>
            <w:r w:rsidRPr="00675AB5">
              <w:rPr>
                <w:b/>
                <w:bCs/>
                <w:smallCaps/>
                <w:sz w:val="20"/>
                <w:szCs w:val="20"/>
                <w:lang w:val="hr-HR"/>
              </w:rPr>
              <w:t>Opće obavijesti</w:t>
            </w:r>
          </w:p>
        </w:tc>
      </w:tr>
      <w:tr w:rsidR="001665A2" w:rsidRPr="0066173E" w:rsidTr="00D43DBC">
        <w:trPr>
          <w:cantSplit/>
        </w:trPr>
        <w:tc>
          <w:tcPr>
            <w:tcW w:w="2141" w:type="dxa"/>
            <w:gridSpan w:val="3"/>
            <w:vAlign w:val="center"/>
          </w:tcPr>
          <w:p w:rsidR="001665A2" w:rsidRPr="00675AB5" w:rsidRDefault="001665A2" w:rsidP="00D43DBC">
            <w:pPr>
              <w:spacing w:line="276" w:lineRule="auto"/>
              <w:rPr>
                <w:b/>
                <w:bCs/>
                <w:smallCaps/>
                <w:sz w:val="20"/>
                <w:szCs w:val="20"/>
                <w:lang w:val="hr-HR"/>
              </w:rPr>
            </w:pPr>
            <w:r w:rsidRPr="00675AB5">
              <w:rPr>
                <w:b/>
                <w:bCs/>
                <w:smallCaps/>
                <w:sz w:val="20"/>
                <w:szCs w:val="20"/>
                <w:lang w:val="hr-HR"/>
              </w:rPr>
              <w:t>odjel</w:t>
            </w:r>
          </w:p>
        </w:tc>
        <w:tc>
          <w:tcPr>
            <w:tcW w:w="7145" w:type="dxa"/>
            <w:gridSpan w:val="11"/>
            <w:vAlign w:val="center"/>
          </w:tcPr>
          <w:p w:rsidR="001665A2" w:rsidRPr="00675AB5" w:rsidRDefault="001665A2" w:rsidP="00D43DBC">
            <w:pPr>
              <w:spacing w:line="276" w:lineRule="auto"/>
              <w:rPr>
                <w:sz w:val="20"/>
                <w:szCs w:val="20"/>
                <w:lang w:val="hr-HR"/>
              </w:rPr>
            </w:pPr>
            <w:r w:rsidRPr="00675AB5">
              <w:rPr>
                <w:sz w:val="20"/>
                <w:szCs w:val="20"/>
                <w:lang w:val="hr-HR"/>
              </w:rPr>
              <w:t>Odjel za arheologiju – Sveučilište u Zadru</w:t>
            </w:r>
          </w:p>
        </w:tc>
      </w:tr>
      <w:tr w:rsidR="001665A2" w:rsidRPr="0066173E" w:rsidTr="00D43DBC">
        <w:trPr>
          <w:cantSplit/>
        </w:trPr>
        <w:tc>
          <w:tcPr>
            <w:tcW w:w="2141" w:type="dxa"/>
            <w:gridSpan w:val="3"/>
            <w:vAlign w:val="center"/>
          </w:tcPr>
          <w:p w:rsidR="001665A2" w:rsidRPr="00675AB5" w:rsidRDefault="001665A2" w:rsidP="00D43DBC">
            <w:pPr>
              <w:spacing w:line="276" w:lineRule="auto"/>
              <w:rPr>
                <w:b/>
                <w:bCs/>
                <w:smallCaps/>
                <w:sz w:val="20"/>
                <w:szCs w:val="20"/>
                <w:lang w:val="hr-HR"/>
              </w:rPr>
            </w:pPr>
            <w:r w:rsidRPr="00675AB5">
              <w:rPr>
                <w:b/>
                <w:bCs/>
                <w:smallCaps/>
                <w:sz w:val="20"/>
                <w:szCs w:val="20"/>
                <w:lang w:val="hr-HR"/>
              </w:rPr>
              <w:t>studij</w:t>
            </w:r>
          </w:p>
        </w:tc>
        <w:tc>
          <w:tcPr>
            <w:tcW w:w="7145" w:type="dxa"/>
            <w:gridSpan w:val="11"/>
            <w:vAlign w:val="center"/>
          </w:tcPr>
          <w:p w:rsidR="001665A2" w:rsidRPr="00675AB5" w:rsidRDefault="001665A2" w:rsidP="00D43DBC">
            <w:pPr>
              <w:spacing w:line="276" w:lineRule="auto"/>
              <w:rPr>
                <w:sz w:val="20"/>
                <w:szCs w:val="20"/>
                <w:lang w:val="hr-HR"/>
              </w:rPr>
            </w:pPr>
            <w:r w:rsidRPr="00675AB5">
              <w:rPr>
                <w:sz w:val="20"/>
                <w:szCs w:val="20"/>
                <w:lang w:val="hr-HR"/>
              </w:rPr>
              <w:t>Poslijediplomski znanstveni studij “Arheologija istočnog Jadrana”</w:t>
            </w:r>
          </w:p>
        </w:tc>
      </w:tr>
      <w:tr w:rsidR="001665A2" w:rsidRPr="00675AB5" w:rsidTr="00D43DBC">
        <w:trPr>
          <w:cantSplit/>
        </w:trPr>
        <w:tc>
          <w:tcPr>
            <w:tcW w:w="2141" w:type="dxa"/>
            <w:gridSpan w:val="3"/>
            <w:vAlign w:val="center"/>
          </w:tcPr>
          <w:p w:rsidR="001665A2" w:rsidRPr="00675AB5" w:rsidRDefault="001665A2" w:rsidP="00D43DBC">
            <w:pPr>
              <w:spacing w:line="276" w:lineRule="auto"/>
              <w:rPr>
                <w:b/>
                <w:bCs/>
                <w:smallCaps/>
                <w:sz w:val="20"/>
                <w:szCs w:val="20"/>
                <w:lang w:val="hr-HR"/>
              </w:rPr>
            </w:pPr>
            <w:r w:rsidRPr="00675AB5">
              <w:rPr>
                <w:b/>
                <w:bCs/>
                <w:smallCaps/>
                <w:sz w:val="20"/>
                <w:szCs w:val="20"/>
                <w:lang w:val="hr-HR"/>
              </w:rPr>
              <w:t>usmjerenje</w:t>
            </w:r>
          </w:p>
        </w:tc>
        <w:tc>
          <w:tcPr>
            <w:tcW w:w="4498" w:type="dxa"/>
            <w:gridSpan w:val="8"/>
            <w:vAlign w:val="center"/>
          </w:tcPr>
          <w:p w:rsidR="001665A2" w:rsidRPr="00675AB5" w:rsidRDefault="001665A2" w:rsidP="00D43DBC">
            <w:pPr>
              <w:spacing w:line="276" w:lineRule="auto"/>
              <w:rPr>
                <w:sz w:val="20"/>
                <w:szCs w:val="20"/>
                <w:lang w:val="hr-HR"/>
              </w:rPr>
            </w:pPr>
            <w:r w:rsidRPr="00675AB5">
              <w:rPr>
                <w:sz w:val="20"/>
                <w:szCs w:val="20"/>
                <w:lang w:val="hr-HR"/>
              </w:rPr>
              <w:t>Prapovijesna arheologija</w:t>
            </w:r>
          </w:p>
        </w:tc>
        <w:tc>
          <w:tcPr>
            <w:tcW w:w="2647" w:type="dxa"/>
            <w:gridSpan w:val="3"/>
          </w:tcPr>
          <w:p w:rsidR="001665A2" w:rsidRPr="00675AB5" w:rsidRDefault="001665A2" w:rsidP="00D43DBC">
            <w:pPr>
              <w:spacing w:line="276" w:lineRule="auto"/>
              <w:jc w:val="center"/>
              <w:rPr>
                <w:b/>
                <w:bCs/>
                <w:sz w:val="20"/>
                <w:szCs w:val="20"/>
                <w:lang w:val="hr-HR"/>
              </w:rPr>
            </w:pPr>
            <w:r w:rsidRPr="00675AB5">
              <w:rPr>
                <w:b/>
                <w:bCs/>
                <w:sz w:val="20"/>
                <w:szCs w:val="20"/>
                <w:lang w:val="hr-HR"/>
              </w:rPr>
              <w:t>Godina studija</w:t>
            </w:r>
          </w:p>
        </w:tc>
      </w:tr>
      <w:tr w:rsidR="001665A2" w:rsidRPr="00675AB5" w:rsidTr="00D43DBC">
        <w:trPr>
          <w:cantSplit/>
        </w:trPr>
        <w:tc>
          <w:tcPr>
            <w:tcW w:w="2141" w:type="dxa"/>
            <w:gridSpan w:val="3"/>
            <w:vAlign w:val="center"/>
          </w:tcPr>
          <w:p w:rsidR="001665A2" w:rsidRPr="00675AB5" w:rsidRDefault="001665A2" w:rsidP="00D43DBC">
            <w:pPr>
              <w:spacing w:line="276" w:lineRule="auto"/>
              <w:rPr>
                <w:b/>
                <w:bCs/>
                <w:smallCaps/>
                <w:sz w:val="20"/>
                <w:szCs w:val="20"/>
                <w:lang w:val="hr-HR"/>
              </w:rPr>
            </w:pPr>
            <w:r w:rsidRPr="00675AB5">
              <w:rPr>
                <w:b/>
                <w:bCs/>
                <w:smallCaps/>
                <w:sz w:val="20"/>
                <w:szCs w:val="20"/>
                <w:lang w:val="hr-HR"/>
              </w:rPr>
              <w:t>Nastavnik</w:t>
            </w:r>
          </w:p>
        </w:tc>
        <w:tc>
          <w:tcPr>
            <w:tcW w:w="4498" w:type="dxa"/>
            <w:gridSpan w:val="8"/>
            <w:vAlign w:val="center"/>
          </w:tcPr>
          <w:p w:rsidR="001665A2" w:rsidRPr="00675AB5" w:rsidRDefault="001665A2" w:rsidP="00D43DBC">
            <w:pPr>
              <w:spacing w:line="276" w:lineRule="auto"/>
              <w:rPr>
                <w:b/>
                <w:sz w:val="20"/>
                <w:szCs w:val="20"/>
                <w:lang w:val="hr-HR"/>
              </w:rPr>
            </w:pPr>
            <w:r w:rsidRPr="00675AB5">
              <w:rPr>
                <w:b/>
                <w:bCs/>
                <w:sz w:val="20"/>
                <w:szCs w:val="20"/>
                <w:lang w:val="hr-HR"/>
              </w:rPr>
              <w:t>Doc. dr. sc. Dario Vujević</w:t>
            </w:r>
          </w:p>
        </w:tc>
        <w:tc>
          <w:tcPr>
            <w:tcW w:w="2647" w:type="dxa"/>
            <w:gridSpan w:val="3"/>
            <w:vMerge w:val="restart"/>
          </w:tcPr>
          <w:p w:rsidR="001665A2" w:rsidRPr="00675AB5" w:rsidRDefault="001665A2" w:rsidP="00D43DBC">
            <w:pPr>
              <w:spacing w:line="276" w:lineRule="auto"/>
              <w:jc w:val="center"/>
              <w:rPr>
                <w:sz w:val="20"/>
                <w:szCs w:val="20"/>
                <w:lang w:val="hr-HR"/>
              </w:rPr>
            </w:pPr>
            <w:r w:rsidRPr="00675AB5">
              <w:rPr>
                <w:sz w:val="20"/>
                <w:szCs w:val="20"/>
                <w:lang w:val="hr-HR"/>
              </w:rPr>
              <w:t>1.</w:t>
            </w:r>
          </w:p>
          <w:p w:rsidR="001665A2" w:rsidRPr="00675AB5" w:rsidRDefault="001665A2" w:rsidP="00D43DBC">
            <w:pPr>
              <w:spacing w:line="276" w:lineRule="auto"/>
              <w:jc w:val="center"/>
              <w:rPr>
                <w:sz w:val="20"/>
                <w:szCs w:val="20"/>
                <w:lang w:val="hr-HR"/>
              </w:rPr>
            </w:pPr>
          </w:p>
          <w:p w:rsidR="001665A2" w:rsidRPr="00675AB5" w:rsidRDefault="001665A2" w:rsidP="00D43DBC">
            <w:pPr>
              <w:spacing w:line="276" w:lineRule="auto"/>
              <w:jc w:val="center"/>
              <w:rPr>
                <w:b/>
                <w:sz w:val="20"/>
                <w:szCs w:val="20"/>
                <w:lang w:val="hr-HR"/>
              </w:rPr>
            </w:pPr>
            <w:r w:rsidRPr="00675AB5">
              <w:rPr>
                <w:b/>
                <w:sz w:val="20"/>
                <w:szCs w:val="20"/>
                <w:lang w:val="hr-HR"/>
              </w:rPr>
              <w:t>Semestar:</w:t>
            </w:r>
          </w:p>
          <w:p w:rsidR="001665A2" w:rsidRPr="00675AB5" w:rsidRDefault="001665A2" w:rsidP="00D43DBC">
            <w:pPr>
              <w:spacing w:line="276" w:lineRule="auto"/>
              <w:jc w:val="center"/>
              <w:rPr>
                <w:sz w:val="20"/>
                <w:szCs w:val="20"/>
                <w:lang w:val="hr-HR"/>
              </w:rPr>
            </w:pPr>
            <w:r w:rsidRPr="00675AB5">
              <w:rPr>
                <w:sz w:val="20"/>
                <w:szCs w:val="20"/>
                <w:lang w:val="hr-HR"/>
              </w:rPr>
              <w:t>II.</w:t>
            </w:r>
          </w:p>
        </w:tc>
      </w:tr>
      <w:tr w:rsidR="001665A2" w:rsidRPr="0066173E" w:rsidTr="00D43DBC">
        <w:trPr>
          <w:cantSplit/>
        </w:trPr>
        <w:tc>
          <w:tcPr>
            <w:tcW w:w="2141" w:type="dxa"/>
            <w:gridSpan w:val="3"/>
            <w:vAlign w:val="center"/>
          </w:tcPr>
          <w:p w:rsidR="001665A2" w:rsidRPr="00675AB5" w:rsidRDefault="001665A2" w:rsidP="00D43DBC">
            <w:pPr>
              <w:spacing w:line="276" w:lineRule="auto"/>
              <w:rPr>
                <w:b/>
                <w:bCs/>
                <w:smallCaps/>
                <w:sz w:val="20"/>
                <w:szCs w:val="20"/>
                <w:lang w:val="hr-HR"/>
              </w:rPr>
            </w:pPr>
            <w:r w:rsidRPr="00675AB5">
              <w:rPr>
                <w:b/>
                <w:bCs/>
                <w:smallCaps/>
                <w:sz w:val="20"/>
                <w:szCs w:val="20"/>
                <w:lang w:val="hr-HR"/>
              </w:rPr>
              <w:t>Ustanova</w:t>
            </w:r>
          </w:p>
        </w:tc>
        <w:tc>
          <w:tcPr>
            <w:tcW w:w="4498" w:type="dxa"/>
            <w:gridSpan w:val="8"/>
            <w:vAlign w:val="center"/>
          </w:tcPr>
          <w:p w:rsidR="001665A2" w:rsidRPr="00675AB5" w:rsidRDefault="001665A2" w:rsidP="00D43DBC">
            <w:pPr>
              <w:spacing w:line="276" w:lineRule="auto"/>
              <w:rPr>
                <w:sz w:val="20"/>
                <w:szCs w:val="20"/>
                <w:lang w:val="hr-HR"/>
              </w:rPr>
            </w:pPr>
            <w:r w:rsidRPr="00675AB5">
              <w:rPr>
                <w:sz w:val="20"/>
                <w:szCs w:val="20"/>
                <w:lang w:val="hr-HR"/>
              </w:rPr>
              <w:t>Sveučilište u Zadru - Odjel za arheologiju</w:t>
            </w:r>
          </w:p>
        </w:tc>
        <w:tc>
          <w:tcPr>
            <w:tcW w:w="2647" w:type="dxa"/>
            <w:gridSpan w:val="3"/>
            <w:vMerge/>
            <w:vAlign w:val="center"/>
          </w:tcPr>
          <w:p w:rsidR="001665A2" w:rsidRPr="00675AB5" w:rsidRDefault="001665A2" w:rsidP="00D43DBC">
            <w:pPr>
              <w:spacing w:line="276" w:lineRule="auto"/>
              <w:rPr>
                <w:sz w:val="20"/>
                <w:szCs w:val="20"/>
                <w:lang w:val="hr-HR"/>
              </w:rPr>
            </w:pPr>
          </w:p>
        </w:tc>
      </w:tr>
      <w:tr w:rsidR="001665A2" w:rsidRPr="0066173E" w:rsidTr="00D43DBC">
        <w:trPr>
          <w:cantSplit/>
        </w:trPr>
        <w:tc>
          <w:tcPr>
            <w:tcW w:w="2141" w:type="dxa"/>
            <w:gridSpan w:val="3"/>
            <w:vAlign w:val="center"/>
          </w:tcPr>
          <w:p w:rsidR="001665A2" w:rsidRPr="00675AB5" w:rsidRDefault="001665A2" w:rsidP="00D43DBC">
            <w:pPr>
              <w:spacing w:line="276" w:lineRule="auto"/>
              <w:rPr>
                <w:b/>
                <w:bCs/>
                <w:smallCaps/>
                <w:sz w:val="20"/>
                <w:szCs w:val="20"/>
                <w:lang w:val="hr-HR"/>
              </w:rPr>
            </w:pPr>
            <w:r w:rsidRPr="00675AB5">
              <w:rPr>
                <w:b/>
                <w:bCs/>
                <w:smallCaps/>
                <w:sz w:val="20"/>
                <w:szCs w:val="20"/>
                <w:lang w:val="hr-HR"/>
              </w:rPr>
              <w:t>Status kolegija</w:t>
            </w:r>
          </w:p>
        </w:tc>
        <w:tc>
          <w:tcPr>
            <w:tcW w:w="1057" w:type="dxa"/>
            <w:gridSpan w:val="3"/>
          </w:tcPr>
          <w:p w:rsidR="001665A2" w:rsidRPr="00675AB5" w:rsidRDefault="001665A2" w:rsidP="00D43DBC">
            <w:pPr>
              <w:spacing w:line="276" w:lineRule="auto"/>
              <w:jc w:val="center"/>
              <w:rPr>
                <w:b/>
                <w:bCs/>
                <w:sz w:val="20"/>
                <w:szCs w:val="20"/>
                <w:lang w:val="hr-HR"/>
              </w:rPr>
            </w:pPr>
          </w:p>
        </w:tc>
        <w:tc>
          <w:tcPr>
            <w:tcW w:w="898" w:type="dxa"/>
          </w:tcPr>
          <w:p w:rsidR="001665A2" w:rsidRPr="00675AB5" w:rsidRDefault="001665A2" w:rsidP="00D43DBC">
            <w:pPr>
              <w:spacing w:line="276" w:lineRule="auto"/>
              <w:jc w:val="center"/>
              <w:rPr>
                <w:b/>
                <w:sz w:val="20"/>
                <w:szCs w:val="20"/>
                <w:lang w:val="hr-HR"/>
              </w:rPr>
            </w:pPr>
            <w:r w:rsidRPr="00675AB5">
              <w:rPr>
                <w:b/>
                <w:sz w:val="20"/>
                <w:szCs w:val="20"/>
                <w:lang w:val="hr-HR"/>
              </w:rPr>
              <w:t>Izborni</w:t>
            </w:r>
          </w:p>
        </w:tc>
        <w:tc>
          <w:tcPr>
            <w:tcW w:w="2543" w:type="dxa"/>
            <w:gridSpan w:val="4"/>
          </w:tcPr>
          <w:p w:rsidR="001665A2" w:rsidRPr="00675AB5" w:rsidRDefault="001665A2" w:rsidP="00D43DBC">
            <w:pPr>
              <w:spacing w:line="276" w:lineRule="auto"/>
              <w:jc w:val="center"/>
              <w:rPr>
                <w:sz w:val="20"/>
                <w:szCs w:val="20"/>
                <w:lang w:val="hr-HR"/>
              </w:rPr>
            </w:pPr>
            <w:r w:rsidRPr="00675AB5">
              <w:rPr>
                <w:sz w:val="20"/>
                <w:szCs w:val="20"/>
                <w:lang w:val="hr-HR"/>
              </w:rPr>
              <w:t>Izborni za druge studij. grupe</w:t>
            </w:r>
          </w:p>
        </w:tc>
        <w:tc>
          <w:tcPr>
            <w:tcW w:w="2647" w:type="dxa"/>
            <w:gridSpan w:val="3"/>
            <w:vMerge/>
            <w:vAlign w:val="center"/>
          </w:tcPr>
          <w:p w:rsidR="001665A2" w:rsidRPr="00675AB5" w:rsidRDefault="001665A2" w:rsidP="00D43DBC">
            <w:pPr>
              <w:spacing w:line="276" w:lineRule="auto"/>
              <w:rPr>
                <w:sz w:val="20"/>
                <w:szCs w:val="20"/>
                <w:lang w:val="hr-HR"/>
              </w:rPr>
            </w:pPr>
          </w:p>
        </w:tc>
      </w:tr>
      <w:tr w:rsidR="001665A2" w:rsidRPr="0066173E" w:rsidTr="00D43DBC">
        <w:tc>
          <w:tcPr>
            <w:tcW w:w="9286" w:type="dxa"/>
            <w:gridSpan w:val="14"/>
          </w:tcPr>
          <w:p w:rsidR="001665A2" w:rsidRPr="00675AB5" w:rsidRDefault="001665A2" w:rsidP="001665A2">
            <w:pPr>
              <w:numPr>
                <w:ilvl w:val="0"/>
                <w:numId w:val="1"/>
              </w:numPr>
              <w:spacing w:line="276" w:lineRule="auto"/>
              <w:rPr>
                <w:sz w:val="20"/>
                <w:szCs w:val="20"/>
                <w:lang w:val="hr-HR"/>
              </w:rPr>
            </w:pPr>
            <w:r w:rsidRPr="00675AB5">
              <w:rPr>
                <w:b/>
                <w:bCs/>
                <w:smallCaps/>
                <w:sz w:val="20"/>
                <w:szCs w:val="20"/>
                <w:lang w:val="hr-HR"/>
              </w:rPr>
              <w:t>Opis kolegija:</w:t>
            </w:r>
          </w:p>
          <w:p w:rsidR="001665A2" w:rsidRPr="00675AB5" w:rsidRDefault="001665A2" w:rsidP="00D43DBC">
            <w:pPr>
              <w:spacing w:line="276" w:lineRule="auto"/>
              <w:jc w:val="both"/>
              <w:rPr>
                <w:bCs/>
                <w:sz w:val="20"/>
                <w:szCs w:val="20"/>
                <w:lang w:val="hr-HR"/>
              </w:rPr>
            </w:pPr>
            <w:r w:rsidRPr="00675AB5">
              <w:rPr>
                <w:bCs/>
                <w:sz w:val="20"/>
                <w:szCs w:val="20"/>
                <w:lang w:val="hr-HR"/>
              </w:rPr>
              <w:t xml:space="preserve">Musterijenska kultura je naziv za materijalnu ostavštinu neandertalaca, a njeni tragovi primjećuju se na cijelom području istočne obale Jadrana. No kao posljedica topografije primjećuje se grupiranje na samo određenim geografskim područjima (Istra, zadarsko područje, trogirsko područje, itd.). Nalazišta su koncentrirana uz obalu ili blizu dolina na malim nadmorskim visinama. Svi resursi potrebni zajednici dobavljaju se lokalno. Čak i mali postotak kremene sirovine koji potječe s udaljenijih mjesta najvjerojatnije predstavlja sirovinu prikupljenu prilikom kretanja, dakle u trenutku kada ona predstavlja lokalnu sirovinu. Nalazišta na istočnom Jadrana pokazuju mala odstupanja u tipologiji i tehnologiji, a i ona su više posljedica odabira sirovine i možda funkcije mjesta, a manje ovise o okolišu.  Prema apsolutnim datumima i nizom usporedbi može se zaključiti da većina nalazišta na Jadranu ukazuju na kasni musterijen, tj. razdoblje poslije 60.000 godina prije sadašnjosti. </w:t>
            </w:r>
          </w:p>
          <w:p w:rsidR="001665A2" w:rsidRPr="00675AB5" w:rsidRDefault="001665A2" w:rsidP="00D43DBC">
            <w:pPr>
              <w:spacing w:line="276" w:lineRule="auto"/>
              <w:jc w:val="both"/>
              <w:rPr>
                <w:bCs/>
                <w:sz w:val="20"/>
                <w:szCs w:val="20"/>
                <w:lang w:val="hr-HR"/>
              </w:rPr>
            </w:pPr>
          </w:p>
        </w:tc>
      </w:tr>
      <w:tr w:rsidR="001665A2" w:rsidRPr="0066173E" w:rsidTr="00D43DBC">
        <w:tc>
          <w:tcPr>
            <w:tcW w:w="9286" w:type="dxa"/>
            <w:gridSpan w:val="14"/>
          </w:tcPr>
          <w:p w:rsidR="001665A2" w:rsidRPr="00675AB5" w:rsidRDefault="001665A2" w:rsidP="001665A2">
            <w:pPr>
              <w:numPr>
                <w:ilvl w:val="0"/>
                <w:numId w:val="1"/>
              </w:numPr>
              <w:spacing w:line="276" w:lineRule="auto"/>
              <w:rPr>
                <w:sz w:val="20"/>
                <w:szCs w:val="20"/>
                <w:lang w:val="hr-HR"/>
              </w:rPr>
            </w:pPr>
            <w:r w:rsidRPr="00675AB5">
              <w:rPr>
                <w:b/>
                <w:bCs/>
                <w:smallCaps/>
                <w:sz w:val="20"/>
                <w:szCs w:val="20"/>
                <w:lang w:val="hr-HR"/>
              </w:rPr>
              <w:t>Ciljevi kolegija:</w:t>
            </w:r>
            <w:r w:rsidRPr="00675AB5">
              <w:rPr>
                <w:sz w:val="20"/>
                <w:szCs w:val="20"/>
                <w:lang w:val="hr-HR"/>
              </w:rPr>
              <w:t xml:space="preserve"> </w:t>
            </w:r>
          </w:p>
          <w:p w:rsidR="001665A2" w:rsidRPr="00675AB5" w:rsidRDefault="001665A2" w:rsidP="00D43DBC">
            <w:pPr>
              <w:spacing w:line="276" w:lineRule="auto"/>
              <w:jc w:val="both"/>
              <w:rPr>
                <w:bCs/>
                <w:sz w:val="20"/>
                <w:szCs w:val="20"/>
                <w:lang w:val="hr-HR"/>
              </w:rPr>
            </w:pPr>
            <w:r w:rsidRPr="00675AB5">
              <w:rPr>
                <w:bCs/>
                <w:sz w:val="20"/>
                <w:szCs w:val="20"/>
                <w:lang w:val="hr-HR"/>
              </w:rPr>
              <w:t xml:space="preserve">Opći cilj kolegija je dobiti uvid u život neandertalaca na prostoru istočne jadranske obale i upoznati njihovu materijalnu kulturu. Uz to tijekom kolegija studenti će biti upoznati i s drugim aspektima musterijenske kulture: </w:t>
            </w:r>
          </w:p>
          <w:p w:rsidR="001665A2" w:rsidRPr="00675AB5" w:rsidRDefault="001665A2" w:rsidP="001665A2">
            <w:pPr>
              <w:numPr>
                <w:ilvl w:val="0"/>
                <w:numId w:val="3"/>
              </w:numPr>
              <w:spacing w:line="276" w:lineRule="auto"/>
              <w:jc w:val="both"/>
              <w:rPr>
                <w:bCs/>
                <w:sz w:val="20"/>
                <w:szCs w:val="20"/>
                <w:lang w:val="hr-HR"/>
              </w:rPr>
            </w:pPr>
            <w:r w:rsidRPr="00675AB5">
              <w:rPr>
                <w:bCs/>
                <w:sz w:val="20"/>
                <w:szCs w:val="20"/>
                <w:lang w:val="hr-HR"/>
              </w:rPr>
              <w:t>tipološkim i tehnološkim analizama materijala dobivenog arheološkim iskopavanjem ili terenskim pregledom</w:t>
            </w:r>
          </w:p>
          <w:p w:rsidR="001665A2" w:rsidRPr="00675AB5" w:rsidRDefault="001665A2" w:rsidP="001665A2">
            <w:pPr>
              <w:numPr>
                <w:ilvl w:val="0"/>
                <w:numId w:val="3"/>
              </w:numPr>
              <w:spacing w:line="276" w:lineRule="auto"/>
              <w:jc w:val="both"/>
              <w:rPr>
                <w:bCs/>
                <w:sz w:val="20"/>
                <w:szCs w:val="20"/>
                <w:lang w:val="hr-HR"/>
              </w:rPr>
            </w:pPr>
            <w:r w:rsidRPr="00675AB5">
              <w:rPr>
                <w:bCs/>
                <w:sz w:val="20"/>
                <w:szCs w:val="20"/>
                <w:lang w:val="hr-HR"/>
              </w:rPr>
              <w:t>načinima prikupljanja i korištenja sirovinskog materijala</w:t>
            </w:r>
          </w:p>
          <w:p w:rsidR="001665A2" w:rsidRPr="00675AB5" w:rsidRDefault="001665A2" w:rsidP="001665A2">
            <w:pPr>
              <w:numPr>
                <w:ilvl w:val="0"/>
                <w:numId w:val="3"/>
              </w:numPr>
              <w:spacing w:line="276" w:lineRule="auto"/>
              <w:jc w:val="both"/>
              <w:rPr>
                <w:bCs/>
                <w:sz w:val="20"/>
                <w:szCs w:val="20"/>
                <w:lang w:val="hr-HR"/>
              </w:rPr>
            </w:pPr>
            <w:r w:rsidRPr="00675AB5">
              <w:rPr>
                <w:bCs/>
                <w:sz w:val="20"/>
                <w:szCs w:val="20"/>
                <w:lang w:val="hr-HR"/>
              </w:rPr>
              <w:t>pregledom modela varijabilnosti i njihovim uklapanjem u stanje na jadranskom području</w:t>
            </w:r>
          </w:p>
          <w:p w:rsidR="001665A2" w:rsidRPr="00675AB5" w:rsidRDefault="001665A2" w:rsidP="001665A2">
            <w:pPr>
              <w:numPr>
                <w:ilvl w:val="0"/>
                <w:numId w:val="3"/>
              </w:numPr>
              <w:spacing w:line="276" w:lineRule="auto"/>
              <w:jc w:val="both"/>
              <w:rPr>
                <w:bCs/>
                <w:sz w:val="20"/>
                <w:szCs w:val="20"/>
                <w:lang w:val="hr-HR"/>
              </w:rPr>
            </w:pPr>
            <w:r w:rsidRPr="00675AB5">
              <w:rPr>
                <w:bCs/>
                <w:sz w:val="20"/>
                <w:szCs w:val="20"/>
                <w:lang w:val="hr-HR"/>
              </w:rPr>
              <w:t>općom kronologijom srednjeg paleolitika istočnog Jadrana</w:t>
            </w:r>
          </w:p>
          <w:p w:rsidR="001665A2" w:rsidRPr="00675AB5" w:rsidRDefault="001665A2" w:rsidP="00D43DBC">
            <w:pPr>
              <w:spacing w:line="276" w:lineRule="auto"/>
              <w:jc w:val="both"/>
              <w:rPr>
                <w:bCs/>
                <w:sz w:val="20"/>
                <w:szCs w:val="20"/>
                <w:lang w:val="hr-HR"/>
              </w:rPr>
            </w:pPr>
          </w:p>
        </w:tc>
      </w:tr>
      <w:tr w:rsidR="001665A2" w:rsidRPr="00675AB5" w:rsidTr="00D43DBC">
        <w:trPr>
          <w:trHeight w:val="281"/>
        </w:trPr>
        <w:tc>
          <w:tcPr>
            <w:tcW w:w="5433" w:type="dxa"/>
            <w:gridSpan w:val="9"/>
          </w:tcPr>
          <w:p w:rsidR="001665A2" w:rsidRPr="00675AB5" w:rsidRDefault="001665A2" w:rsidP="00D43DBC">
            <w:pPr>
              <w:spacing w:line="276" w:lineRule="auto"/>
              <w:rPr>
                <w:b/>
                <w:bCs/>
                <w:smallCaps/>
                <w:sz w:val="20"/>
                <w:szCs w:val="20"/>
                <w:lang w:val="hr-HR"/>
              </w:rPr>
            </w:pPr>
            <w:r w:rsidRPr="00675AB5">
              <w:rPr>
                <w:b/>
                <w:bCs/>
                <w:smallCaps/>
                <w:sz w:val="20"/>
                <w:szCs w:val="20"/>
                <w:lang w:val="hr-HR"/>
              </w:rPr>
              <w:t>Vodič:</w:t>
            </w:r>
          </w:p>
        </w:tc>
        <w:tc>
          <w:tcPr>
            <w:tcW w:w="1709" w:type="dxa"/>
            <w:gridSpan w:val="3"/>
            <w:vAlign w:val="center"/>
          </w:tcPr>
          <w:p w:rsidR="001665A2" w:rsidRPr="00675AB5" w:rsidRDefault="001665A2" w:rsidP="00D43DBC">
            <w:pPr>
              <w:spacing w:line="276" w:lineRule="auto"/>
              <w:jc w:val="center"/>
              <w:rPr>
                <w:sz w:val="20"/>
                <w:szCs w:val="20"/>
                <w:lang w:val="hr-HR"/>
              </w:rPr>
            </w:pPr>
            <w:r w:rsidRPr="00675AB5">
              <w:rPr>
                <w:sz w:val="20"/>
                <w:szCs w:val="20"/>
                <w:lang w:val="hr-HR"/>
              </w:rPr>
              <w:t>Zimski semestar</w:t>
            </w:r>
          </w:p>
        </w:tc>
        <w:tc>
          <w:tcPr>
            <w:tcW w:w="2144" w:type="dxa"/>
            <w:gridSpan w:val="2"/>
            <w:vAlign w:val="center"/>
          </w:tcPr>
          <w:p w:rsidR="001665A2" w:rsidRPr="00675AB5" w:rsidRDefault="001665A2" w:rsidP="00D43DBC">
            <w:pPr>
              <w:spacing w:line="276" w:lineRule="auto"/>
              <w:jc w:val="center"/>
              <w:rPr>
                <w:sz w:val="20"/>
                <w:szCs w:val="20"/>
                <w:lang w:val="hr-HR"/>
              </w:rPr>
            </w:pPr>
            <w:r w:rsidRPr="00675AB5">
              <w:rPr>
                <w:sz w:val="20"/>
                <w:szCs w:val="20"/>
                <w:lang w:val="hr-HR"/>
              </w:rPr>
              <w:t>Ljetni semestar</w:t>
            </w:r>
          </w:p>
        </w:tc>
      </w:tr>
      <w:tr w:rsidR="001665A2" w:rsidRPr="00675AB5" w:rsidTr="00D43DBC">
        <w:trPr>
          <w:trHeight w:val="278"/>
        </w:trPr>
        <w:tc>
          <w:tcPr>
            <w:tcW w:w="5433" w:type="dxa"/>
            <w:gridSpan w:val="9"/>
          </w:tcPr>
          <w:p w:rsidR="001665A2" w:rsidRPr="00675AB5" w:rsidRDefault="001665A2" w:rsidP="00D43DBC">
            <w:pPr>
              <w:spacing w:line="276" w:lineRule="auto"/>
              <w:rPr>
                <w:b/>
                <w:bCs/>
                <w:smallCaps/>
                <w:sz w:val="20"/>
                <w:szCs w:val="20"/>
                <w:lang w:val="hr-HR"/>
              </w:rPr>
            </w:pPr>
            <w:r w:rsidRPr="00675AB5">
              <w:rPr>
                <w:b/>
                <w:bCs/>
                <w:smallCaps/>
                <w:sz w:val="20"/>
                <w:szCs w:val="20"/>
                <w:lang w:val="hr-HR"/>
              </w:rPr>
              <w:t>Ects - studentsko opterećenje:</w:t>
            </w:r>
          </w:p>
        </w:tc>
        <w:tc>
          <w:tcPr>
            <w:tcW w:w="1709" w:type="dxa"/>
            <w:gridSpan w:val="3"/>
          </w:tcPr>
          <w:p w:rsidR="001665A2" w:rsidRPr="00675AB5" w:rsidRDefault="001665A2" w:rsidP="00D43DBC">
            <w:pPr>
              <w:spacing w:line="276" w:lineRule="auto"/>
              <w:jc w:val="center"/>
              <w:rPr>
                <w:bCs/>
                <w:sz w:val="20"/>
                <w:szCs w:val="20"/>
                <w:lang w:val="hr-HR"/>
              </w:rPr>
            </w:pPr>
          </w:p>
        </w:tc>
        <w:tc>
          <w:tcPr>
            <w:tcW w:w="2144" w:type="dxa"/>
            <w:gridSpan w:val="2"/>
          </w:tcPr>
          <w:p w:rsidR="001665A2" w:rsidRPr="00675AB5" w:rsidRDefault="001665A2" w:rsidP="00D43DBC">
            <w:pPr>
              <w:spacing w:line="276" w:lineRule="auto"/>
              <w:jc w:val="center"/>
              <w:rPr>
                <w:b/>
                <w:bCs/>
                <w:sz w:val="20"/>
                <w:szCs w:val="20"/>
                <w:highlight w:val="yellow"/>
                <w:lang w:val="hr-HR"/>
              </w:rPr>
            </w:pPr>
            <w:r w:rsidRPr="00675AB5">
              <w:rPr>
                <w:bCs/>
                <w:sz w:val="20"/>
                <w:szCs w:val="20"/>
                <w:lang w:val="hr-HR"/>
              </w:rPr>
              <w:t>2</w:t>
            </w:r>
          </w:p>
        </w:tc>
      </w:tr>
      <w:tr w:rsidR="001665A2" w:rsidRPr="00675AB5" w:rsidTr="00D43DBC">
        <w:trPr>
          <w:trHeight w:val="278"/>
        </w:trPr>
        <w:tc>
          <w:tcPr>
            <w:tcW w:w="5433" w:type="dxa"/>
            <w:gridSpan w:val="9"/>
          </w:tcPr>
          <w:p w:rsidR="001665A2" w:rsidRPr="00675AB5" w:rsidRDefault="001665A2" w:rsidP="00D43DBC">
            <w:pPr>
              <w:spacing w:line="276" w:lineRule="auto"/>
              <w:rPr>
                <w:b/>
                <w:bCs/>
                <w:smallCaps/>
                <w:sz w:val="20"/>
                <w:szCs w:val="20"/>
                <w:lang w:val="hr-HR"/>
              </w:rPr>
            </w:pPr>
            <w:r w:rsidRPr="00675AB5">
              <w:rPr>
                <w:b/>
                <w:bCs/>
                <w:smallCaps/>
                <w:sz w:val="20"/>
                <w:szCs w:val="20"/>
                <w:lang w:val="hr-HR"/>
              </w:rPr>
              <w:t>Tjedana po semestru:</w:t>
            </w:r>
          </w:p>
        </w:tc>
        <w:tc>
          <w:tcPr>
            <w:tcW w:w="1709" w:type="dxa"/>
            <w:gridSpan w:val="3"/>
          </w:tcPr>
          <w:p w:rsidR="001665A2" w:rsidRPr="00675AB5" w:rsidRDefault="001665A2" w:rsidP="00D43DBC">
            <w:pPr>
              <w:spacing w:line="276" w:lineRule="auto"/>
              <w:jc w:val="center"/>
              <w:rPr>
                <w:bCs/>
                <w:sz w:val="20"/>
                <w:szCs w:val="20"/>
                <w:lang w:val="hr-HR"/>
              </w:rPr>
            </w:pPr>
          </w:p>
        </w:tc>
        <w:tc>
          <w:tcPr>
            <w:tcW w:w="2144" w:type="dxa"/>
            <w:gridSpan w:val="2"/>
          </w:tcPr>
          <w:p w:rsidR="001665A2" w:rsidRPr="00675AB5" w:rsidRDefault="001665A2" w:rsidP="00D43DBC">
            <w:pPr>
              <w:spacing w:line="276" w:lineRule="auto"/>
              <w:jc w:val="center"/>
              <w:rPr>
                <w:b/>
                <w:bCs/>
                <w:sz w:val="20"/>
                <w:szCs w:val="20"/>
                <w:highlight w:val="yellow"/>
                <w:lang w:val="hr-HR"/>
              </w:rPr>
            </w:pPr>
            <w:r w:rsidRPr="00675AB5">
              <w:rPr>
                <w:bCs/>
                <w:sz w:val="20"/>
                <w:szCs w:val="20"/>
                <w:lang w:val="hr-HR"/>
              </w:rPr>
              <w:t>15</w:t>
            </w:r>
          </w:p>
        </w:tc>
      </w:tr>
      <w:tr w:rsidR="001665A2" w:rsidRPr="00675AB5" w:rsidTr="00D43DBC">
        <w:trPr>
          <w:cantSplit/>
          <w:trHeight w:val="278"/>
        </w:trPr>
        <w:tc>
          <w:tcPr>
            <w:tcW w:w="2705" w:type="dxa"/>
            <w:gridSpan w:val="4"/>
            <w:vMerge w:val="restart"/>
          </w:tcPr>
          <w:p w:rsidR="001665A2" w:rsidRPr="00675AB5" w:rsidRDefault="001665A2" w:rsidP="00D43DBC">
            <w:pPr>
              <w:spacing w:line="276" w:lineRule="auto"/>
              <w:rPr>
                <w:sz w:val="20"/>
                <w:szCs w:val="20"/>
                <w:lang w:val="hr-HR"/>
              </w:rPr>
            </w:pPr>
            <w:r w:rsidRPr="00675AB5">
              <w:rPr>
                <w:sz w:val="20"/>
                <w:szCs w:val="20"/>
                <w:lang w:val="hr-HR"/>
              </w:rPr>
              <w:t>Sati tjedno:</w:t>
            </w:r>
          </w:p>
        </w:tc>
        <w:tc>
          <w:tcPr>
            <w:tcW w:w="2728" w:type="dxa"/>
            <w:gridSpan w:val="5"/>
          </w:tcPr>
          <w:p w:rsidR="001665A2" w:rsidRPr="00675AB5" w:rsidRDefault="001665A2" w:rsidP="00D43DBC">
            <w:pPr>
              <w:spacing w:line="276" w:lineRule="auto"/>
              <w:rPr>
                <w:sz w:val="20"/>
                <w:szCs w:val="20"/>
                <w:lang w:val="hr-HR"/>
              </w:rPr>
            </w:pPr>
            <w:r w:rsidRPr="00675AB5">
              <w:rPr>
                <w:sz w:val="20"/>
                <w:szCs w:val="20"/>
                <w:lang w:val="hr-HR"/>
              </w:rPr>
              <w:t>predavanja</w:t>
            </w:r>
          </w:p>
        </w:tc>
        <w:tc>
          <w:tcPr>
            <w:tcW w:w="1709" w:type="dxa"/>
            <w:gridSpan w:val="3"/>
          </w:tcPr>
          <w:p w:rsidR="001665A2" w:rsidRPr="00675AB5" w:rsidRDefault="001665A2" w:rsidP="00D43DBC">
            <w:pPr>
              <w:spacing w:line="276" w:lineRule="auto"/>
              <w:jc w:val="center"/>
              <w:rPr>
                <w:bCs/>
                <w:sz w:val="20"/>
                <w:szCs w:val="20"/>
                <w:lang w:val="hr-HR"/>
              </w:rPr>
            </w:pPr>
          </w:p>
        </w:tc>
        <w:tc>
          <w:tcPr>
            <w:tcW w:w="2144" w:type="dxa"/>
            <w:gridSpan w:val="2"/>
          </w:tcPr>
          <w:p w:rsidR="001665A2" w:rsidRPr="00675AB5" w:rsidRDefault="001665A2" w:rsidP="00D43DBC">
            <w:pPr>
              <w:spacing w:line="276" w:lineRule="auto"/>
              <w:jc w:val="center"/>
              <w:rPr>
                <w:b/>
                <w:bCs/>
                <w:sz w:val="20"/>
                <w:szCs w:val="20"/>
                <w:highlight w:val="yellow"/>
                <w:lang w:val="hr-HR"/>
              </w:rPr>
            </w:pPr>
            <w:r w:rsidRPr="00675AB5">
              <w:rPr>
                <w:bCs/>
                <w:sz w:val="20"/>
                <w:szCs w:val="20"/>
                <w:lang w:val="hr-HR"/>
              </w:rPr>
              <w:t>1</w:t>
            </w:r>
          </w:p>
        </w:tc>
      </w:tr>
      <w:tr w:rsidR="001665A2" w:rsidRPr="00675AB5" w:rsidTr="00D43DBC">
        <w:trPr>
          <w:cantSplit/>
          <w:trHeight w:val="278"/>
        </w:trPr>
        <w:tc>
          <w:tcPr>
            <w:tcW w:w="0" w:type="auto"/>
            <w:gridSpan w:val="4"/>
            <w:vMerge/>
            <w:vAlign w:val="center"/>
          </w:tcPr>
          <w:p w:rsidR="001665A2" w:rsidRPr="00675AB5" w:rsidRDefault="001665A2" w:rsidP="00D43DBC">
            <w:pPr>
              <w:spacing w:line="276" w:lineRule="auto"/>
              <w:rPr>
                <w:sz w:val="20"/>
                <w:szCs w:val="20"/>
                <w:lang w:val="hr-HR"/>
              </w:rPr>
            </w:pPr>
          </w:p>
        </w:tc>
        <w:tc>
          <w:tcPr>
            <w:tcW w:w="2728" w:type="dxa"/>
            <w:gridSpan w:val="5"/>
          </w:tcPr>
          <w:p w:rsidR="001665A2" w:rsidRPr="00675AB5" w:rsidRDefault="001665A2" w:rsidP="00D43DBC">
            <w:pPr>
              <w:spacing w:line="276" w:lineRule="auto"/>
              <w:rPr>
                <w:sz w:val="20"/>
                <w:szCs w:val="20"/>
                <w:lang w:val="hr-HR"/>
              </w:rPr>
            </w:pPr>
            <w:r w:rsidRPr="00675AB5">
              <w:rPr>
                <w:sz w:val="20"/>
                <w:szCs w:val="20"/>
                <w:lang w:val="hr-HR"/>
              </w:rPr>
              <w:t>seminari</w:t>
            </w:r>
          </w:p>
        </w:tc>
        <w:tc>
          <w:tcPr>
            <w:tcW w:w="1709" w:type="dxa"/>
            <w:gridSpan w:val="3"/>
          </w:tcPr>
          <w:p w:rsidR="001665A2" w:rsidRPr="00675AB5" w:rsidRDefault="001665A2" w:rsidP="00D43DBC">
            <w:pPr>
              <w:spacing w:line="276" w:lineRule="auto"/>
              <w:jc w:val="center"/>
              <w:rPr>
                <w:bCs/>
                <w:sz w:val="20"/>
                <w:szCs w:val="20"/>
                <w:lang w:val="hr-HR"/>
              </w:rPr>
            </w:pPr>
          </w:p>
        </w:tc>
        <w:tc>
          <w:tcPr>
            <w:tcW w:w="2144" w:type="dxa"/>
            <w:gridSpan w:val="2"/>
          </w:tcPr>
          <w:p w:rsidR="001665A2" w:rsidRPr="00675AB5" w:rsidRDefault="001665A2" w:rsidP="00D43DBC">
            <w:pPr>
              <w:spacing w:line="276" w:lineRule="auto"/>
              <w:jc w:val="center"/>
              <w:rPr>
                <w:b/>
                <w:bCs/>
                <w:sz w:val="20"/>
                <w:szCs w:val="20"/>
                <w:highlight w:val="yellow"/>
                <w:lang w:val="hr-HR"/>
              </w:rPr>
            </w:pPr>
          </w:p>
        </w:tc>
      </w:tr>
      <w:tr w:rsidR="001665A2" w:rsidRPr="00675AB5" w:rsidTr="00D43DBC">
        <w:trPr>
          <w:cantSplit/>
          <w:trHeight w:val="173"/>
        </w:trPr>
        <w:tc>
          <w:tcPr>
            <w:tcW w:w="0" w:type="auto"/>
            <w:gridSpan w:val="4"/>
            <w:vMerge/>
            <w:vAlign w:val="center"/>
          </w:tcPr>
          <w:p w:rsidR="001665A2" w:rsidRPr="00675AB5" w:rsidRDefault="001665A2" w:rsidP="00D43DBC">
            <w:pPr>
              <w:spacing w:line="276" w:lineRule="auto"/>
              <w:rPr>
                <w:sz w:val="20"/>
                <w:szCs w:val="20"/>
                <w:lang w:val="hr-HR"/>
              </w:rPr>
            </w:pPr>
          </w:p>
        </w:tc>
        <w:tc>
          <w:tcPr>
            <w:tcW w:w="2728" w:type="dxa"/>
            <w:gridSpan w:val="5"/>
          </w:tcPr>
          <w:p w:rsidR="001665A2" w:rsidRPr="00675AB5" w:rsidRDefault="001665A2" w:rsidP="00D43DBC">
            <w:pPr>
              <w:spacing w:line="276" w:lineRule="auto"/>
              <w:rPr>
                <w:sz w:val="20"/>
                <w:szCs w:val="20"/>
                <w:lang w:val="hr-HR"/>
              </w:rPr>
            </w:pPr>
            <w:r w:rsidRPr="00675AB5">
              <w:rPr>
                <w:sz w:val="20"/>
                <w:szCs w:val="20"/>
                <w:lang w:val="hr-HR"/>
              </w:rPr>
              <w:t>vježbe</w:t>
            </w:r>
          </w:p>
        </w:tc>
        <w:tc>
          <w:tcPr>
            <w:tcW w:w="1709" w:type="dxa"/>
            <w:gridSpan w:val="3"/>
          </w:tcPr>
          <w:p w:rsidR="001665A2" w:rsidRPr="00675AB5" w:rsidRDefault="001665A2" w:rsidP="00D43DBC">
            <w:pPr>
              <w:spacing w:line="276" w:lineRule="auto"/>
              <w:jc w:val="center"/>
              <w:rPr>
                <w:bCs/>
                <w:sz w:val="20"/>
                <w:szCs w:val="20"/>
                <w:lang w:val="hr-HR"/>
              </w:rPr>
            </w:pPr>
          </w:p>
        </w:tc>
        <w:tc>
          <w:tcPr>
            <w:tcW w:w="2144" w:type="dxa"/>
            <w:gridSpan w:val="2"/>
          </w:tcPr>
          <w:p w:rsidR="001665A2" w:rsidRPr="00675AB5" w:rsidRDefault="001665A2" w:rsidP="00D43DBC">
            <w:pPr>
              <w:spacing w:line="276" w:lineRule="auto"/>
              <w:jc w:val="center"/>
              <w:rPr>
                <w:sz w:val="20"/>
                <w:szCs w:val="20"/>
                <w:highlight w:val="yellow"/>
                <w:lang w:val="hr-HR"/>
              </w:rPr>
            </w:pPr>
          </w:p>
        </w:tc>
      </w:tr>
      <w:tr w:rsidR="001665A2" w:rsidRPr="00675AB5" w:rsidTr="00D43DBC">
        <w:trPr>
          <w:cantSplit/>
          <w:trHeight w:val="172"/>
        </w:trPr>
        <w:tc>
          <w:tcPr>
            <w:tcW w:w="0" w:type="auto"/>
            <w:gridSpan w:val="4"/>
            <w:vMerge/>
            <w:vAlign w:val="center"/>
          </w:tcPr>
          <w:p w:rsidR="001665A2" w:rsidRPr="00675AB5" w:rsidRDefault="001665A2" w:rsidP="00D43DBC">
            <w:pPr>
              <w:spacing w:line="276" w:lineRule="auto"/>
              <w:rPr>
                <w:sz w:val="20"/>
                <w:szCs w:val="20"/>
                <w:lang w:val="hr-HR"/>
              </w:rPr>
            </w:pPr>
          </w:p>
        </w:tc>
        <w:tc>
          <w:tcPr>
            <w:tcW w:w="2728" w:type="dxa"/>
            <w:gridSpan w:val="5"/>
          </w:tcPr>
          <w:p w:rsidR="001665A2" w:rsidRPr="00675AB5" w:rsidRDefault="001665A2" w:rsidP="00D43DBC">
            <w:pPr>
              <w:spacing w:line="276" w:lineRule="auto"/>
              <w:rPr>
                <w:sz w:val="20"/>
                <w:szCs w:val="20"/>
                <w:lang w:val="hr-HR"/>
              </w:rPr>
            </w:pPr>
            <w:r w:rsidRPr="00675AB5">
              <w:rPr>
                <w:sz w:val="20"/>
                <w:szCs w:val="20"/>
                <w:lang w:val="hr-HR"/>
              </w:rPr>
              <w:t>mentorski rad</w:t>
            </w:r>
          </w:p>
        </w:tc>
        <w:tc>
          <w:tcPr>
            <w:tcW w:w="1709" w:type="dxa"/>
            <w:gridSpan w:val="3"/>
          </w:tcPr>
          <w:p w:rsidR="001665A2" w:rsidRPr="00675AB5" w:rsidRDefault="001665A2" w:rsidP="00D43DBC">
            <w:pPr>
              <w:spacing w:line="276" w:lineRule="auto"/>
              <w:jc w:val="center"/>
              <w:rPr>
                <w:bCs/>
                <w:sz w:val="20"/>
                <w:szCs w:val="20"/>
                <w:lang w:val="hr-HR"/>
              </w:rPr>
            </w:pPr>
          </w:p>
        </w:tc>
        <w:tc>
          <w:tcPr>
            <w:tcW w:w="2144" w:type="dxa"/>
            <w:gridSpan w:val="2"/>
          </w:tcPr>
          <w:p w:rsidR="001665A2" w:rsidRPr="00675AB5" w:rsidRDefault="001665A2" w:rsidP="00D43DBC">
            <w:pPr>
              <w:spacing w:line="276" w:lineRule="auto"/>
              <w:jc w:val="center"/>
              <w:rPr>
                <w:b/>
                <w:bCs/>
                <w:sz w:val="20"/>
                <w:szCs w:val="20"/>
                <w:highlight w:val="yellow"/>
                <w:lang w:val="hr-HR"/>
              </w:rPr>
            </w:pPr>
          </w:p>
        </w:tc>
      </w:tr>
      <w:tr w:rsidR="001665A2" w:rsidRPr="00675AB5" w:rsidTr="00D43DBC">
        <w:trPr>
          <w:cantSplit/>
          <w:trHeight w:val="278"/>
        </w:trPr>
        <w:tc>
          <w:tcPr>
            <w:tcW w:w="2705" w:type="dxa"/>
            <w:gridSpan w:val="4"/>
            <w:vMerge w:val="restart"/>
          </w:tcPr>
          <w:p w:rsidR="001665A2" w:rsidRPr="00675AB5" w:rsidRDefault="001665A2" w:rsidP="00D43DBC">
            <w:pPr>
              <w:spacing w:line="276" w:lineRule="auto"/>
              <w:rPr>
                <w:sz w:val="20"/>
                <w:szCs w:val="20"/>
                <w:lang w:val="hr-HR"/>
              </w:rPr>
            </w:pPr>
            <w:r w:rsidRPr="00675AB5">
              <w:rPr>
                <w:sz w:val="20"/>
                <w:szCs w:val="20"/>
                <w:lang w:val="hr-HR"/>
              </w:rPr>
              <w:t>Ukupno sati:</w:t>
            </w:r>
          </w:p>
        </w:tc>
        <w:tc>
          <w:tcPr>
            <w:tcW w:w="2728" w:type="dxa"/>
            <w:gridSpan w:val="5"/>
          </w:tcPr>
          <w:p w:rsidR="001665A2" w:rsidRPr="00675AB5" w:rsidRDefault="001665A2" w:rsidP="00D43DBC">
            <w:pPr>
              <w:spacing w:line="276" w:lineRule="auto"/>
              <w:rPr>
                <w:sz w:val="20"/>
                <w:szCs w:val="20"/>
                <w:lang w:val="hr-HR"/>
              </w:rPr>
            </w:pPr>
            <w:r w:rsidRPr="00675AB5">
              <w:rPr>
                <w:sz w:val="20"/>
                <w:szCs w:val="20"/>
                <w:lang w:val="hr-HR"/>
              </w:rPr>
              <w:t>predavanja</w:t>
            </w:r>
          </w:p>
        </w:tc>
        <w:tc>
          <w:tcPr>
            <w:tcW w:w="1709" w:type="dxa"/>
            <w:gridSpan w:val="3"/>
          </w:tcPr>
          <w:p w:rsidR="001665A2" w:rsidRPr="00675AB5" w:rsidRDefault="001665A2" w:rsidP="00D43DBC">
            <w:pPr>
              <w:spacing w:line="276" w:lineRule="auto"/>
              <w:jc w:val="center"/>
              <w:rPr>
                <w:bCs/>
                <w:sz w:val="20"/>
                <w:szCs w:val="20"/>
                <w:lang w:val="hr-HR"/>
              </w:rPr>
            </w:pPr>
          </w:p>
        </w:tc>
        <w:tc>
          <w:tcPr>
            <w:tcW w:w="2144" w:type="dxa"/>
            <w:gridSpan w:val="2"/>
          </w:tcPr>
          <w:p w:rsidR="001665A2" w:rsidRPr="00675AB5" w:rsidRDefault="001665A2" w:rsidP="00D43DBC">
            <w:pPr>
              <w:spacing w:line="276" w:lineRule="auto"/>
              <w:jc w:val="center"/>
              <w:rPr>
                <w:b/>
                <w:bCs/>
                <w:sz w:val="20"/>
                <w:szCs w:val="20"/>
                <w:highlight w:val="yellow"/>
                <w:lang w:val="hr-HR"/>
              </w:rPr>
            </w:pPr>
            <w:r w:rsidRPr="00675AB5">
              <w:rPr>
                <w:bCs/>
                <w:sz w:val="20"/>
                <w:szCs w:val="20"/>
                <w:lang w:val="hr-HR"/>
              </w:rPr>
              <w:t>15</w:t>
            </w:r>
          </w:p>
        </w:tc>
      </w:tr>
      <w:tr w:rsidR="001665A2" w:rsidRPr="00675AB5" w:rsidTr="00D43DBC">
        <w:trPr>
          <w:cantSplit/>
          <w:trHeight w:val="278"/>
        </w:trPr>
        <w:tc>
          <w:tcPr>
            <w:tcW w:w="0" w:type="auto"/>
            <w:gridSpan w:val="4"/>
            <w:vMerge/>
            <w:vAlign w:val="center"/>
          </w:tcPr>
          <w:p w:rsidR="001665A2" w:rsidRPr="00675AB5" w:rsidRDefault="001665A2" w:rsidP="00D43DBC">
            <w:pPr>
              <w:spacing w:line="276" w:lineRule="auto"/>
              <w:rPr>
                <w:sz w:val="20"/>
                <w:szCs w:val="20"/>
                <w:lang w:val="hr-HR"/>
              </w:rPr>
            </w:pPr>
          </w:p>
        </w:tc>
        <w:tc>
          <w:tcPr>
            <w:tcW w:w="2728" w:type="dxa"/>
            <w:gridSpan w:val="5"/>
          </w:tcPr>
          <w:p w:rsidR="001665A2" w:rsidRPr="00675AB5" w:rsidRDefault="001665A2" w:rsidP="00D43DBC">
            <w:pPr>
              <w:spacing w:line="276" w:lineRule="auto"/>
              <w:rPr>
                <w:sz w:val="20"/>
                <w:szCs w:val="20"/>
                <w:lang w:val="hr-HR"/>
              </w:rPr>
            </w:pPr>
            <w:r w:rsidRPr="00675AB5">
              <w:rPr>
                <w:sz w:val="20"/>
                <w:szCs w:val="20"/>
                <w:lang w:val="hr-HR"/>
              </w:rPr>
              <w:t>seminari</w:t>
            </w:r>
          </w:p>
        </w:tc>
        <w:tc>
          <w:tcPr>
            <w:tcW w:w="1709" w:type="dxa"/>
            <w:gridSpan w:val="3"/>
          </w:tcPr>
          <w:p w:rsidR="001665A2" w:rsidRPr="00675AB5" w:rsidRDefault="001665A2" w:rsidP="00D43DBC">
            <w:pPr>
              <w:spacing w:line="276" w:lineRule="auto"/>
              <w:jc w:val="center"/>
              <w:rPr>
                <w:bCs/>
                <w:sz w:val="20"/>
                <w:szCs w:val="20"/>
                <w:lang w:val="hr-HR"/>
              </w:rPr>
            </w:pPr>
          </w:p>
        </w:tc>
        <w:tc>
          <w:tcPr>
            <w:tcW w:w="2144" w:type="dxa"/>
            <w:gridSpan w:val="2"/>
          </w:tcPr>
          <w:p w:rsidR="001665A2" w:rsidRPr="00675AB5" w:rsidRDefault="001665A2" w:rsidP="00D43DBC">
            <w:pPr>
              <w:spacing w:line="276" w:lineRule="auto"/>
              <w:rPr>
                <w:b/>
                <w:bCs/>
                <w:sz w:val="20"/>
                <w:szCs w:val="20"/>
                <w:highlight w:val="yellow"/>
                <w:lang w:val="hr-HR"/>
              </w:rPr>
            </w:pPr>
          </w:p>
        </w:tc>
      </w:tr>
      <w:tr w:rsidR="001665A2" w:rsidRPr="00675AB5" w:rsidTr="00D43DBC">
        <w:trPr>
          <w:cantSplit/>
          <w:trHeight w:val="173"/>
        </w:trPr>
        <w:tc>
          <w:tcPr>
            <w:tcW w:w="0" w:type="auto"/>
            <w:gridSpan w:val="4"/>
            <w:vMerge/>
            <w:vAlign w:val="center"/>
          </w:tcPr>
          <w:p w:rsidR="001665A2" w:rsidRPr="00675AB5" w:rsidRDefault="001665A2" w:rsidP="00D43DBC">
            <w:pPr>
              <w:spacing w:line="276" w:lineRule="auto"/>
              <w:rPr>
                <w:sz w:val="20"/>
                <w:szCs w:val="20"/>
                <w:lang w:val="hr-HR"/>
              </w:rPr>
            </w:pPr>
          </w:p>
        </w:tc>
        <w:tc>
          <w:tcPr>
            <w:tcW w:w="2728" w:type="dxa"/>
            <w:gridSpan w:val="5"/>
          </w:tcPr>
          <w:p w:rsidR="001665A2" w:rsidRPr="00675AB5" w:rsidRDefault="001665A2" w:rsidP="00D43DBC">
            <w:pPr>
              <w:spacing w:line="276" w:lineRule="auto"/>
              <w:rPr>
                <w:sz w:val="20"/>
                <w:szCs w:val="20"/>
                <w:lang w:val="hr-HR"/>
              </w:rPr>
            </w:pPr>
            <w:r w:rsidRPr="00675AB5">
              <w:rPr>
                <w:sz w:val="20"/>
                <w:szCs w:val="20"/>
                <w:lang w:val="hr-HR"/>
              </w:rPr>
              <w:t>vježbe</w:t>
            </w:r>
          </w:p>
        </w:tc>
        <w:tc>
          <w:tcPr>
            <w:tcW w:w="1709" w:type="dxa"/>
            <w:gridSpan w:val="3"/>
          </w:tcPr>
          <w:p w:rsidR="001665A2" w:rsidRPr="00675AB5" w:rsidRDefault="001665A2" w:rsidP="00D43DBC">
            <w:pPr>
              <w:spacing w:line="276" w:lineRule="auto"/>
              <w:jc w:val="center"/>
              <w:rPr>
                <w:sz w:val="20"/>
                <w:szCs w:val="20"/>
                <w:lang w:val="hr-HR"/>
              </w:rPr>
            </w:pPr>
          </w:p>
        </w:tc>
        <w:tc>
          <w:tcPr>
            <w:tcW w:w="2144" w:type="dxa"/>
            <w:gridSpan w:val="2"/>
          </w:tcPr>
          <w:p w:rsidR="001665A2" w:rsidRPr="00675AB5" w:rsidRDefault="001665A2" w:rsidP="00D43DBC">
            <w:pPr>
              <w:spacing w:line="276" w:lineRule="auto"/>
              <w:rPr>
                <w:sz w:val="20"/>
                <w:szCs w:val="20"/>
                <w:highlight w:val="yellow"/>
                <w:lang w:val="hr-HR"/>
              </w:rPr>
            </w:pPr>
          </w:p>
        </w:tc>
      </w:tr>
      <w:tr w:rsidR="001665A2" w:rsidRPr="00675AB5" w:rsidTr="00D43DBC">
        <w:trPr>
          <w:cantSplit/>
          <w:trHeight w:val="172"/>
        </w:trPr>
        <w:tc>
          <w:tcPr>
            <w:tcW w:w="0" w:type="auto"/>
            <w:gridSpan w:val="4"/>
            <w:vMerge/>
            <w:vAlign w:val="center"/>
          </w:tcPr>
          <w:p w:rsidR="001665A2" w:rsidRPr="00675AB5" w:rsidRDefault="001665A2" w:rsidP="00D43DBC">
            <w:pPr>
              <w:spacing w:line="276" w:lineRule="auto"/>
              <w:rPr>
                <w:sz w:val="20"/>
                <w:szCs w:val="20"/>
                <w:lang w:val="hr-HR"/>
              </w:rPr>
            </w:pPr>
          </w:p>
        </w:tc>
        <w:tc>
          <w:tcPr>
            <w:tcW w:w="2728" w:type="dxa"/>
            <w:gridSpan w:val="5"/>
          </w:tcPr>
          <w:p w:rsidR="001665A2" w:rsidRPr="00675AB5" w:rsidRDefault="001665A2" w:rsidP="00D43DBC">
            <w:pPr>
              <w:spacing w:line="276" w:lineRule="auto"/>
              <w:rPr>
                <w:sz w:val="20"/>
                <w:szCs w:val="20"/>
                <w:lang w:val="hr-HR"/>
              </w:rPr>
            </w:pPr>
            <w:r w:rsidRPr="00675AB5">
              <w:rPr>
                <w:sz w:val="20"/>
                <w:szCs w:val="20"/>
                <w:lang w:val="hr-HR"/>
              </w:rPr>
              <w:t>mentorski rad</w:t>
            </w:r>
          </w:p>
        </w:tc>
        <w:tc>
          <w:tcPr>
            <w:tcW w:w="1709" w:type="dxa"/>
            <w:gridSpan w:val="3"/>
          </w:tcPr>
          <w:p w:rsidR="001665A2" w:rsidRPr="00675AB5" w:rsidRDefault="001665A2" w:rsidP="00D43DBC">
            <w:pPr>
              <w:spacing w:line="276" w:lineRule="auto"/>
              <w:jc w:val="center"/>
              <w:rPr>
                <w:sz w:val="20"/>
                <w:szCs w:val="20"/>
                <w:lang w:val="hr-HR"/>
              </w:rPr>
            </w:pPr>
          </w:p>
        </w:tc>
        <w:tc>
          <w:tcPr>
            <w:tcW w:w="2144" w:type="dxa"/>
            <w:gridSpan w:val="2"/>
          </w:tcPr>
          <w:p w:rsidR="001665A2" w:rsidRPr="00675AB5" w:rsidRDefault="001665A2" w:rsidP="00D43DBC">
            <w:pPr>
              <w:spacing w:line="276" w:lineRule="auto"/>
              <w:rPr>
                <w:b/>
                <w:bCs/>
                <w:sz w:val="20"/>
                <w:szCs w:val="20"/>
                <w:highlight w:val="yellow"/>
                <w:lang w:val="hr-HR"/>
              </w:rPr>
            </w:pPr>
          </w:p>
        </w:tc>
      </w:tr>
      <w:tr w:rsidR="001665A2" w:rsidRPr="0066173E" w:rsidTr="00D43DBC">
        <w:trPr>
          <w:cantSplit/>
        </w:trPr>
        <w:tc>
          <w:tcPr>
            <w:tcW w:w="5433" w:type="dxa"/>
            <w:gridSpan w:val="9"/>
          </w:tcPr>
          <w:p w:rsidR="001665A2" w:rsidRPr="00675AB5" w:rsidRDefault="001665A2" w:rsidP="00D43DBC">
            <w:pPr>
              <w:spacing w:line="276" w:lineRule="auto"/>
              <w:jc w:val="center"/>
              <w:rPr>
                <w:sz w:val="20"/>
                <w:szCs w:val="20"/>
                <w:lang w:val="hr-HR"/>
              </w:rPr>
            </w:pPr>
            <w:r w:rsidRPr="00675AB5">
              <w:rPr>
                <w:sz w:val="20"/>
                <w:szCs w:val="20"/>
                <w:lang w:val="hr-HR"/>
              </w:rPr>
              <w:t>Ukupan broj dana terenske nastave:</w:t>
            </w:r>
          </w:p>
        </w:tc>
        <w:tc>
          <w:tcPr>
            <w:tcW w:w="1709" w:type="dxa"/>
            <w:gridSpan w:val="3"/>
          </w:tcPr>
          <w:p w:rsidR="001665A2" w:rsidRPr="00675AB5" w:rsidRDefault="001665A2" w:rsidP="00D43DBC">
            <w:pPr>
              <w:spacing w:line="276" w:lineRule="auto"/>
              <w:jc w:val="center"/>
              <w:rPr>
                <w:sz w:val="20"/>
                <w:szCs w:val="20"/>
                <w:lang w:val="hr-HR"/>
              </w:rPr>
            </w:pPr>
          </w:p>
        </w:tc>
        <w:tc>
          <w:tcPr>
            <w:tcW w:w="2144" w:type="dxa"/>
            <w:gridSpan w:val="2"/>
          </w:tcPr>
          <w:p w:rsidR="001665A2" w:rsidRPr="00675AB5" w:rsidRDefault="001665A2" w:rsidP="00D43DBC">
            <w:pPr>
              <w:spacing w:line="276" w:lineRule="auto"/>
              <w:rPr>
                <w:sz w:val="20"/>
                <w:szCs w:val="20"/>
                <w:lang w:val="hr-HR"/>
              </w:rPr>
            </w:pPr>
          </w:p>
        </w:tc>
      </w:tr>
      <w:tr w:rsidR="001665A2" w:rsidRPr="00675AB5" w:rsidTr="00D43DBC">
        <w:tc>
          <w:tcPr>
            <w:tcW w:w="9286" w:type="dxa"/>
            <w:gridSpan w:val="14"/>
          </w:tcPr>
          <w:p w:rsidR="001665A2" w:rsidRPr="00675AB5" w:rsidRDefault="001665A2" w:rsidP="00D43DBC">
            <w:pPr>
              <w:spacing w:line="276" w:lineRule="auto"/>
              <w:rPr>
                <w:b/>
                <w:bCs/>
                <w:smallCaps/>
                <w:sz w:val="20"/>
                <w:szCs w:val="20"/>
                <w:lang w:val="hr-HR"/>
              </w:rPr>
            </w:pPr>
            <w:r w:rsidRPr="00675AB5">
              <w:rPr>
                <w:b/>
                <w:bCs/>
                <w:smallCaps/>
                <w:sz w:val="20"/>
                <w:szCs w:val="20"/>
                <w:lang w:val="hr-HR"/>
              </w:rPr>
              <w:t>Nastavne metode:</w:t>
            </w:r>
          </w:p>
        </w:tc>
      </w:tr>
      <w:tr w:rsidR="001665A2" w:rsidRPr="00675AB5" w:rsidTr="00D43DBC">
        <w:trPr>
          <w:cantSplit/>
        </w:trPr>
        <w:tc>
          <w:tcPr>
            <w:tcW w:w="1495" w:type="dxa"/>
          </w:tcPr>
          <w:p w:rsidR="001665A2" w:rsidRPr="00675AB5" w:rsidRDefault="001665A2" w:rsidP="00D43DBC">
            <w:pPr>
              <w:spacing w:line="276" w:lineRule="auto"/>
              <w:jc w:val="center"/>
              <w:rPr>
                <w:sz w:val="20"/>
                <w:szCs w:val="20"/>
                <w:lang w:val="hr-HR"/>
              </w:rPr>
            </w:pPr>
            <w:r w:rsidRPr="00675AB5">
              <w:rPr>
                <w:sz w:val="20"/>
                <w:szCs w:val="20"/>
                <w:lang w:val="hr-HR"/>
              </w:rPr>
              <w:t>predavanja</w:t>
            </w:r>
          </w:p>
        </w:tc>
        <w:tc>
          <w:tcPr>
            <w:tcW w:w="1457" w:type="dxa"/>
            <w:gridSpan w:val="4"/>
          </w:tcPr>
          <w:p w:rsidR="001665A2" w:rsidRPr="00675AB5" w:rsidRDefault="001665A2" w:rsidP="00D43DBC">
            <w:pPr>
              <w:spacing w:line="276" w:lineRule="auto"/>
              <w:jc w:val="center"/>
              <w:rPr>
                <w:b/>
                <w:bCs/>
                <w:sz w:val="20"/>
                <w:szCs w:val="20"/>
                <w:lang w:val="hr-HR"/>
              </w:rPr>
            </w:pPr>
          </w:p>
        </w:tc>
        <w:tc>
          <w:tcPr>
            <w:tcW w:w="1495" w:type="dxa"/>
            <w:gridSpan w:val="3"/>
          </w:tcPr>
          <w:p w:rsidR="001665A2" w:rsidRPr="00675AB5" w:rsidRDefault="001665A2" w:rsidP="00D43DBC">
            <w:pPr>
              <w:spacing w:line="276" w:lineRule="auto"/>
              <w:jc w:val="center"/>
              <w:rPr>
                <w:sz w:val="20"/>
                <w:szCs w:val="20"/>
                <w:lang w:val="hr-HR"/>
              </w:rPr>
            </w:pPr>
          </w:p>
        </w:tc>
        <w:tc>
          <w:tcPr>
            <w:tcW w:w="1473" w:type="dxa"/>
            <w:gridSpan w:val="2"/>
          </w:tcPr>
          <w:p w:rsidR="001665A2" w:rsidRPr="00675AB5" w:rsidRDefault="001665A2" w:rsidP="00D43DBC">
            <w:pPr>
              <w:spacing w:line="276" w:lineRule="auto"/>
              <w:jc w:val="center"/>
              <w:rPr>
                <w:sz w:val="20"/>
                <w:szCs w:val="20"/>
                <w:lang w:val="hr-HR"/>
              </w:rPr>
            </w:pPr>
          </w:p>
        </w:tc>
        <w:tc>
          <w:tcPr>
            <w:tcW w:w="1446" w:type="dxa"/>
            <w:gridSpan w:val="3"/>
          </w:tcPr>
          <w:p w:rsidR="001665A2" w:rsidRPr="00675AB5" w:rsidRDefault="001665A2" w:rsidP="00D43DBC">
            <w:pPr>
              <w:spacing w:line="276" w:lineRule="auto"/>
              <w:jc w:val="center"/>
              <w:rPr>
                <w:sz w:val="20"/>
                <w:szCs w:val="20"/>
                <w:lang w:val="hr-HR"/>
              </w:rPr>
            </w:pPr>
          </w:p>
        </w:tc>
        <w:tc>
          <w:tcPr>
            <w:tcW w:w="1920" w:type="dxa"/>
          </w:tcPr>
          <w:p w:rsidR="001665A2" w:rsidRPr="00675AB5" w:rsidRDefault="001665A2" w:rsidP="00D43DBC">
            <w:pPr>
              <w:spacing w:line="276" w:lineRule="auto"/>
              <w:jc w:val="center"/>
              <w:rPr>
                <w:sz w:val="20"/>
                <w:szCs w:val="20"/>
                <w:lang w:val="hr-HR"/>
              </w:rPr>
            </w:pPr>
          </w:p>
        </w:tc>
      </w:tr>
      <w:tr w:rsidR="001665A2" w:rsidRPr="00675AB5" w:rsidTr="00D43DBC">
        <w:tc>
          <w:tcPr>
            <w:tcW w:w="9286" w:type="dxa"/>
            <w:gridSpan w:val="14"/>
          </w:tcPr>
          <w:p w:rsidR="001665A2" w:rsidRPr="00675AB5" w:rsidRDefault="001665A2" w:rsidP="00D43DBC">
            <w:pPr>
              <w:spacing w:line="276" w:lineRule="auto"/>
              <w:rPr>
                <w:b/>
                <w:bCs/>
                <w:smallCaps/>
                <w:sz w:val="20"/>
                <w:szCs w:val="20"/>
                <w:lang w:val="hr-HR"/>
              </w:rPr>
            </w:pPr>
            <w:r w:rsidRPr="00675AB5">
              <w:rPr>
                <w:b/>
                <w:bCs/>
                <w:smallCaps/>
                <w:sz w:val="20"/>
                <w:szCs w:val="20"/>
                <w:lang w:val="hr-HR"/>
              </w:rPr>
              <w:t>Nastavna pomagala:</w:t>
            </w:r>
          </w:p>
        </w:tc>
      </w:tr>
      <w:tr w:rsidR="001665A2" w:rsidRPr="00675AB5" w:rsidTr="00D43DBC">
        <w:trPr>
          <w:cantSplit/>
        </w:trPr>
        <w:tc>
          <w:tcPr>
            <w:tcW w:w="1495" w:type="dxa"/>
          </w:tcPr>
          <w:p w:rsidR="001665A2" w:rsidRPr="00675AB5" w:rsidRDefault="001665A2" w:rsidP="00D43DBC">
            <w:pPr>
              <w:spacing w:line="276" w:lineRule="auto"/>
              <w:jc w:val="center"/>
              <w:rPr>
                <w:sz w:val="20"/>
                <w:szCs w:val="20"/>
                <w:lang w:val="hr-HR"/>
              </w:rPr>
            </w:pPr>
            <w:r w:rsidRPr="00675AB5">
              <w:rPr>
                <w:sz w:val="20"/>
                <w:szCs w:val="20"/>
                <w:lang w:val="hr-HR"/>
              </w:rPr>
              <w:t>udžbenici</w:t>
            </w:r>
          </w:p>
        </w:tc>
        <w:tc>
          <w:tcPr>
            <w:tcW w:w="1457" w:type="dxa"/>
            <w:gridSpan w:val="4"/>
          </w:tcPr>
          <w:p w:rsidR="001665A2" w:rsidRPr="00675AB5" w:rsidRDefault="001665A2" w:rsidP="00D43DBC">
            <w:pPr>
              <w:spacing w:line="276" w:lineRule="auto"/>
              <w:jc w:val="center"/>
              <w:rPr>
                <w:sz w:val="20"/>
                <w:szCs w:val="20"/>
                <w:lang w:val="hr-HR"/>
              </w:rPr>
            </w:pPr>
            <w:r w:rsidRPr="00675AB5">
              <w:rPr>
                <w:sz w:val="20"/>
                <w:szCs w:val="20"/>
                <w:lang w:val="hr-HR"/>
              </w:rPr>
              <w:t>bilješke .pp</w:t>
            </w:r>
          </w:p>
        </w:tc>
        <w:tc>
          <w:tcPr>
            <w:tcW w:w="1495" w:type="dxa"/>
            <w:gridSpan w:val="3"/>
          </w:tcPr>
          <w:p w:rsidR="001665A2" w:rsidRPr="00675AB5" w:rsidRDefault="001665A2" w:rsidP="00D43DBC">
            <w:pPr>
              <w:spacing w:line="276" w:lineRule="auto"/>
              <w:jc w:val="center"/>
              <w:rPr>
                <w:sz w:val="20"/>
                <w:szCs w:val="20"/>
                <w:lang w:val="hr-HR"/>
              </w:rPr>
            </w:pPr>
            <w:r w:rsidRPr="00675AB5">
              <w:rPr>
                <w:sz w:val="20"/>
                <w:szCs w:val="20"/>
                <w:lang w:val="hr-HR"/>
              </w:rPr>
              <w:t>članci</w:t>
            </w:r>
          </w:p>
        </w:tc>
        <w:tc>
          <w:tcPr>
            <w:tcW w:w="1473" w:type="dxa"/>
            <w:gridSpan w:val="2"/>
          </w:tcPr>
          <w:p w:rsidR="001665A2" w:rsidRPr="00675AB5" w:rsidRDefault="001665A2" w:rsidP="00D43DBC">
            <w:pPr>
              <w:spacing w:line="276" w:lineRule="auto"/>
              <w:jc w:val="center"/>
              <w:rPr>
                <w:sz w:val="20"/>
                <w:szCs w:val="20"/>
                <w:lang w:val="hr-HR"/>
              </w:rPr>
            </w:pPr>
            <w:r w:rsidRPr="00675AB5">
              <w:rPr>
                <w:sz w:val="20"/>
                <w:szCs w:val="20"/>
                <w:lang w:val="hr-HR"/>
              </w:rPr>
              <w:t>knjige</w:t>
            </w:r>
          </w:p>
        </w:tc>
        <w:tc>
          <w:tcPr>
            <w:tcW w:w="1446" w:type="dxa"/>
            <w:gridSpan w:val="3"/>
          </w:tcPr>
          <w:p w:rsidR="001665A2" w:rsidRPr="00675AB5" w:rsidRDefault="001665A2" w:rsidP="00D43DBC">
            <w:pPr>
              <w:spacing w:line="276" w:lineRule="auto"/>
              <w:jc w:val="center"/>
              <w:rPr>
                <w:sz w:val="20"/>
                <w:szCs w:val="20"/>
                <w:lang w:val="hr-HR"/>
              </w:rPr>
            </w:pPr>
            <w:r w:rsidRPr="00675AB5">
              <w:rPr>
                <w:sz w:val="20"/>
                <w:szCs w:val="20"/>
                <w:lang w:val="hr-HR"/>
              </w:rPr>
              <w:t>internet</w:t>
            </w:r>
          </w:p>
        </w:tc>
        <w:tc>
          <w:tcPr>
            <w:tcW w:w="1920" w:type="dxa"/>
          </w:tcPr>
          <w:p w:rsidR="001665A2" w:rsidRPr="00675AB5" w:rsidRDefault="001665A2" w:rsidP="00D43DBC">
            <w:pPr>
              <w:spacing w:line="276" w:lineRule="auto"/>
              <w:jc w:val="center"/>
              <w:rPr>
                <w:sz w:val="20"/>
                <w:szCs w:val="20"/>
                <w:lang w:val="hr-HR"/>
              </w:rPr>
            </w:pPr>
          </w:p>
        </w:tc>
      </w:tr>
      <w:tr w:rsidR="001665A2" w:rsidRPr="00675AB5" w:rsidTr="00D43DBC">
        <w:tc>
          <w:tcPr>
            <w:tcW w:w="9286" w:type="dxa"/>
            <w:gridSpan w:val="14"/>
          </w:tcPr>
          <w:p w:rsidR="001665A2" w:rsidRPr="00675AB5" w:rsidRDefault="001665A2" w:rsidP="00D43DBC">
            <w:pPr>
              <w:spacing w:line="276" w:lineRule="auto"/>
              <w:rPr>
                <w:b/>
                <w:bCs/>
                <w:smallCaps/>
                <w:sz w:val="20"/>
                <w:szCs w:val="20"/>
                <w:lang w:val="hr-HR"/>
              </w:rPr>
            </w:pPr>
            <w:r w:rsidRPr="00675AB5">
              <w:rPr>
                <w:b/>
                <w:bCs/>
                <w:smallCaps/>
                <w:sz w:val="20"/>
                <w:szCs w:val="20"/>
                <w:lang w:val="hr-HR"/>
              </w:rPr>
              <w:t>Uvjet za priznavanje bodova:</w:t>
            </w:r>
          </w:p>
        </w:tc>
      </w:tr>
      <w:tr w:rsidR="001665A2" w:rsidRPr="00675AB5" w:rsidTr="00D43DBC">
        <w:trPr>
          <w:cantSplit/>
        </w:trPr>
        <w:tc>
          <w:tcPr>
            <w:tcW w:w="4447" w:type="dxa"/>
            <w:gridSpan w:val="8"/>
          </w:tcPr>
          <w:p w:rsidR="001665A2" w:rsidRPr="00675AB5" w:rsidRDefault="001665A2" w:rsidP="00D43DBC">
            <w:pPr>
              <w:spacing w:line="276" w:lineRule="auto"/>
              <w:rPr>
                <w:sz w:val="20"/>
                <w:szCs w:val="20"/>
                <w:lang w:val="hr-HR"/>
              </w:rPr>
            </w:pPr>
            <w:r w:rsidRPr="00675AB5">
              <w:rPr>
                <w:sz w:val="20"/>
                <w:szCs w:val="20"/>
                <w:lang w:val="hr-HR"/>
              </w:rPr>
              <w:t>Odslušan kolegij</w:t>
            </w:r>
          </w:p>
        </w:tc>
        <w:tc>
          <w:tcPr>
            <w:tcW w:w="4839" w:type="dxa"/>
            <w:gridSpan w:val="6"/>
          </w:tcPr>
          <w:p w:rsidR="001665A2" w:rsidRPr="00675AB5" w:rsidRDefault="001665A2" w:rsidP="00D43DBC">
            <w:pPr>
              <w:spacing w:line="276" w:lineRule="auto"/>
              <w:rPr>
                <w:sz w:val="20"/>
                <w:szCs w:val="20"/>
                <w:lang w:val="hr-HR"/>
              </w:rPr>
            </w:pPr>
          </w:p>
        </w:tc>
      </w:tr>
      <w:tr w:rsidR="001665A2" w:rsidRPr="00675AB5" w:rsidTr="00D43DBC">
        <w:tc>
          <w:tcPr>
            <w:tcW w:w="9286" w:type="dxa"/>
            <w:gridSpan w:val="14"/>
          </w:tcPr>
          <w:p w:rsidR="001665A2" w:rsidRPr="00675AB5" w:rsidRDefault="001665A2" w:rsidP="00D43DBC">
            <w:pPr>
              <w:spacing w:line="276" w:lineRule="auto"/>
              <w:rPr>
                <w:b/>
                <w:bCs/>
                <w:smallCaps/>
                <w:sz w:val="20"/>
                <w:szCs w:val="20"/>
                <w:lang w:val="hr-HR"/>
              </w:rPr>
            </w:pPr>
            <w:r w:rsidRPr="00675AB5">
              <w:rPr>
                <w:b/>
                <w:bCs/>
                <w:smallCaps/>
                <w:sz w:val="20"/>
                <w:szCs w:val="20"/>
                <w:lang w:val="hr-HR"/>
              </w:rPr>
              <w:t>Način polaganja ispita:</w:t>
            </w:r>
          </w:p>
        </w:tc>
      </w:tr>
      <w:tr w:rsidR="001665A2" w:rsidRPr="00675AB5" w:rsidTr="00D43DBC">
        <w:trPr>
          <w:cantSplit/>
        </w:trPr>
        <w:tc>
          <w:tcPr>
            <w:tcW w:w="1728" w:type="dxa"/>
            <w:gridSpan w:val="2"/>
          </w:tcPr>
          <w:p w:rsidR="001665A2" w:rsidRPr="00675AB5" w:rsidRDefault="001665A2" w:rsidP="00D43DBC">
            <w:pPr>
              <w:spacing w:line="276" w:lineRule="auto"/>
              <w:jc w:val="center"/>
              <w:rPr>
                <w:sz w:val="20"/>
                <w:szCs w:val="20"/>
                <w:lang w:val="hr-HR"/>
              </w:rPr>
            </w:pPr>
            <w:r w:rsidRPr="00675AB5">
              <w:rPr>
                <w:sz w:val="20"/>
                <w:szCs w:val="20"/>
                <w:lang w:val="hr-HR"/>
              </w:rPr>
              <w:t>ispit se ne polaže</w:t>
            </w:r>
          </w:p>
        </w:tc>
        <w:tc>
          <w:tcPr>
            <w:tcW w:w="1224" w:type="dxa"/>
            <w:gridSpan w:val="3"/>
          </w:tcPr>
          <w:p w:rsidR="001665A2" w:rsidRPr="00675AB5" w:rsidRDefault="001665A2" w:rsidP="00D43DBC">
            <w:pPr>
              <w:spacing w:line="276" w:lineRule="auto"/>
              <w:jc w:val="center"/>
              <w:rPr>
                <w:b/>
                <w:bCs/>
                <w:sz w:val="20"/>
                <w:szCs w:val="20"/>
                <w:lang w:val="hr-HR"/>
              </w:rPr>
            </w:pPr>
          </w:p>
        </w:tc>
        <w:tc>
          <w:tcPr>
            <w:tcW w:w="1495" w:type="dxa"/>
            <w:gridSpan w:val="3"/>
          </w:tcPr>
          <w:p w:rsidR="001665A2" w:rsidRPr="00675AB5" w:rsidRDefault="001665A2" w:rsidP="00D43DBC">
            <w:pPr>
              <w:spacing w:line="276" w:lineRule="auto"/>
              <w:jc w:val="center"/>
              <w:rPr>
                <w:sz w:val="20"/>
                <w:szCs w:val="20"/>
                <w:lang w:val="hr-HR"/>
              </w:rPr>
            </w:pPr>
          </w:p>
        </w:tc>
        <w:tc>
          <w:tcPr>
            <w:tcW w:w="1473" w:type="dxa"/>
            <w:gridSpan w:val="2"/>
          </w:tcPr>
          <w:p w:rsidR="001665A2" w:rsidRPr="00675AB5" w:rsidRDefault="001665A2" w:rsidP="00D43DBC">
            <w:pPr>
              <w:spacing w:line="276" w:lineRule="auto"/>
              <w:jc w:val="center"/>
              <w:rPr>
                <w:sz w:val="20"/>
                <w:szCs w:val="20"/>
                <w:lang w:val="hr-HR"/>
              </w:rPr>
            </w:pPr>
          </w:p>
        </w:tc>
        <w:tc>
          <w:tcPr>
            <w:tcW w:w="1446" w:type="dxa"/>
            <w:gridSpan w:val="3"/>
          </w:tcPr>
          <w:p w:rsidR="001665A2" w:rsidRPr="00675AB5" w:rsidRDefault="001665A2" w:rsidP="00D43DBC">
            <w:pPr>
              <w:spacing w:line="276" w:lineRule="auto"/>
              <w:jc w:val="center"/>
              <w:rPr>
                <w:b/>
                <w:bCs/>
                <w:sz w:val="20"/>
                <w:szCs w:val="20"/>
                <w:lang w:val="hr-HR"/>
              </w:rPr>
            </w:pPr>
          </w:p>
        </w:tc>
        <w:tc>
          <w:tcPr>
            <w:tcW w:w="1920" w:type="dxa"/>
          </w:tcPr>
          <w:p w:rsidR="001665A2" w:rsidRPr="00675AB5" w:rsidRDefault="001665A2" w:rsidP="00D43DBC">
            <w:pPr>
              <w:spacing w:line="276" w:lineRule="auto"/>
              <w:jc w:val="center"/>
              <w:rPr>
                <w:b/>
                <w:bCs/>
                <w:sz w:val="20"/>
                <w:szCs w:val="20"/>
                <w:lang w:val="hr-HR"/>
              </w:rPr>
            </w:pPr>
          </w:p>
        </w:tc>
      </w:tr>
      <w:tr w:rsidR="001665A2" w:rsidRPr="00675AB5" w:rsidTr="00D43DBC">
        <w:tc>
          <w:tcPr>
            <w:tcW w:w="9286" w:type="dxa"/>
            <w:gridSpan w:val="14"/>
            <w:tcBorders>
              <w:top w:val="nil"/>
            </w:tcBorders>
          </w:tcPr>
          <w:p w:rsidR="001665A2" w:rsidRPr="00675AB5" w:rsidRDefault="001665A2" w:rsidP="00D43DBC">
            <w:pPr>
              <w:spacing w:line="276" w:lineRule="auto"/>
              <w:ind w:left="720" w:hanging="720"/>
              <w:jc w:val="both"/>
              <w:rPr>
                <w:b/>
                <w:bCs/>
                <w:sz w:val="20"/>
                <w:szCs w:val="20"/>
                <w:lang w:val="hr-HR"/>
              </w:rPr>
            </w:pPr>
            <w:r w:rsidRPr="00675AB5">
              <w:rPr>
                <w:b/>
                <w:bCs/>
                <w:sz w:val="20"/>
                <w:szCs w:val="20"/>
                <w:lang w:val="hr-HR"/>
              </w:rPr>
              <w:t>LITERATURA:</w:t>
            </w:r>
          </w:p>
          <w:p w:rsidR="001665A2" w:rsidRPr="00675AB5" w:rsidRDefault="001665A2" w:rsidP="00D43DBC">
            <w:pPr>
              <w:spacing w:line="276" w:lineRule="auto"/>
              <w:ind w:left="720" w:hanging="720"/>
              <w:jc w:val="both"/>
              <w:rPr>
                <w:b/>
                <w:bCs/>
                <w:sz w:val="20"/>
                <w:szCs w:val="20"/>
                <w:lang w:val="hr-HR"/>
              </w:rPr>
            </w:pPr>
            <w:r w:rsidRPr="00675AB5">
              <w:rPr>
                <w:b/>
                <w:bCs/>
                <w:sz w:val="20"/>
                <w:szCs w:val="20"/>
                <w:lang w:val="hr-HR"/>
              </w:rPr>
              <w:t>Obvezna:</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lastRenderedPageBreak/>
              <w:t xml:space="preserve">Basler, Đ., 1983., Paleolitske kulture u jadranskoj regiji, </w:t>
            </w:r>
            <w:r w:rsidRPr="00675AB5">
              <w:rPr>
                <w:bCs/>
                <w:i/>
                <w:sz w:val="20"/>
                <w:szCs w:val="20"/>
                <w:lang w:val="hr-HR"/>
              </w:rPr>
              <w:t>Glasnik zemaljskog muzeja u Sarajevu</w:t>
            </w:r>
            <w:r w:rsidRPr="00675AB5">
              <w:rPr>
                <w:bCs/>
                <w:sz w:val="20"/>
                <w:szCs w:val="20"/>
                <w:lang w:val="hr-HR"/>
              </w:rPr>
              <w:t>, n.s., 38., Sarajevo, 1983, 1-63.</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Karavanić, I. – Bilich-Kamenjarin, I., 1997., Musterijensko nalazište Mujina pećina kod Trogira (rezultati trogodišnjih istraživanja), </w:t>
            </w:r>
            <w:r w:rsidRPr="00675AB5">
              <w:rPr>
                <w:bCs/>
                <w:i/>
                <w:sz w:val="20"/>
                <w:szCs w:val="20"/>
                <w:lang w:val="hr-HR"/>
              </w:rPr>
              <w:t>Opuscula archaeologica</w:t>
            </w:r>
            <w:r w:rsidRPr="00675AB5">
              <w:rPr>
                <w:bCs/>
                <w:sz w:val="20"/>
                <w:szCs w:val="20"/>
                <w:lang w:val="hr-HR"/>
              </w:rPr>
              <w:t>, 21, Zagreb, 1997., 195-204.</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Karavanić, I. -  Janković, I., 2006., Srednji i rani gornji paleolitik u Hrvatskoj, </w:t>
            </w:r>
            <w:r w:rsidRPr="00675AB5">
              <w:rPr>
                <w:bCs/>
                <w:i/>
                <w:iCs/>
                <w:sz w:val="20"/>
                <w:szCs w:val="20"/>
                <w:lang w:val="hr-HR"/>
              </w:rPr>
              <w:t>Opuscula archaeologica</w:t>
            </w:r>
            <w:r w:rsidRPr="00675AB5">
              <w:rPr>
                <w:bCs/>
                <w:iCs/>
                <w:sz w:val="20"/>
                <w:szCs w:val="20"/>
                <w:lang w:val="hr-HR"/>
              </w:rPr>
              <w:t>,</w:t>
            </w:r>
            <w:r w:rsidRPr="00675AB5">
              <w:rPr>
                <w:bCs/>
                <w:sz w:val="20"/>
                <w:szCs w:val="20"/>
                <w:lang w:val="hr-HR"/>
              </w:rPr>
              <w:t xml:space="preserve"> 30, Zagreb, 2006., 21-54.</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Kozlowski, J. K., 1992., The Balkans in the Middle and Upper Palaeolithic: The Gate to Europe or a Cul-de-sac? </w:t>
            </w:r>
            <w:r w:rsidRPr="00675AB5">
              <w:rPr>
                <w:bCs/>
                <w:i/>
                <w:sz w:val="20"/>
                <w:szCs w:val="20"/>
                <w:lang w:val="hr-HR"/>
              </w:rPr>
              <w:t>Proceedings of the Prehistoric Society</w:t>
            </w:r>
            <w:r w:rsidRPr="00675AB5">
              <w:rPr>
                <w:bCs/>
                <w:sz w:val="20"/>
                <w:szCs w:val="20"/>
                <w:lang w:val="hr-HR"/>
              </w:rPr>
              <w:t>, 58, 1992, 1-20.</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Kuhn, S. L., 1998., </w:t>
            </w:r>
            <w:r w:rsidRPr="00675AB5">
              <w:rPr>
                <w:bCs/>
                <w:iCs/>
                <w:sz w:val="20"/>
                <w:szCs w:val="20"/>
                <w:lang w:val="hr-HR"/>
              </w:rPr>
              <w:t xml:space="preserve">Mousterian Technology as Adaptive Response:A Case Study, </w:t>
            </w:r>
            <w:r w:rsidRPr="00675AB5">
              <w:rPr>
                <w:bCs/>
                <w:i/>
                <w:sz w:val="20"/>
                <w:szCs w:val="20"/>
                <w:lang w:val="hr-HR"/>
              </w:rPr>
              <w:t>Archeological Papers of the American Anthropological Association</w:t>
            </w:r>
            <w:r w:rsidRPr="00675AB5">
              <w:rPr>
                <w:bCs/>
                <w:sz w:val="20"/>
                <w:szCs w:val="20"/>
                <w:lang w:val="hr-HR"/>
              </w:rPr>
              <w:t>, 4 (1), 2008., 25-31</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Malez M., 1979., Nalazišta paleolitskog i mezolitskog doba u Hrvatskoj, </w:t>
            </w:r>
            <w:r w:rsidRPr="00675AB5">
              <w:rPr>
                <w:bCs/>
                <w:i/>
                <w:sz w:val="20"/>
                <w:szCs w:val="20"/>
                <w:lang w:val="hr-HR"/>
              </w:rPr>
              <w:t>Praistorija Jugoslavenskih zemalja</w:t>
            </w:r>
            <w:r w:rsidRPr="00675AB5">
              <w:rPr>
                <w:bCs/>
                <w:sz w:val="20"/>
                <w:szCs w:val="20"/>
                <w:lang w:val="hr-HR"/>
              </w:rPr>
              <w:t>, I., Sarajevo, 1979, 227-276.</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Mellars, P., 1996</w:t>
            </w:r>
            <w:r w:rsidRPr="00675AB5">
              <w:rPr>
                <w:bCs/>
                <w:i/>
                <w:sz w:val="20"/>
                <w:szCs w:val="20"/>
                <w:lang w:val="hr-HR"/>
              </w:rPr>
              <w:t>., The Neanderthal legacy, an archaeological perspective from Western Europe</w:t>
            </w:r>
            <w:r w:rsidRPr="00675AB5">
              <w:rPr>
                <w:bCs/>
                <w:sz w:val="20"/>
                <w:szCs w:val="20"/>
                <w:lang w:val="hr-HR"/>
              </w:rPr>
              <w:t>, New Jersey, 1996.</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Patou-Mathis, M., 2000., Neanderthal Subsistence Behaviours in Europe, </w:t>
            </w:r>
            <w:r w:rsidRPr="00675AB5">
              <w:rPr>
                <w:bCs/>
                <w:i/>
                <w:sz w:val="20"/>
                <w:szCs w:val="20"/>
                <w:lang w:val="hr-HR"/>
              </w:rPr>
              <w:t>International Journal of Osteoarchaeology</w:t>
            </w:r>
            <w:r w:rsidRPr="00675AB5">
              <w:rPr>
                <w:bCs/>
                <w:sz w:val="20"/>
                <w:szCs w:val="20"/>
                <w:lang w:val="hr-HR"/>
              </w:rPr>
              <w:t>,  10, 2000, 379–395 .</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Perhoč, Z., 2009., Sources of Chert in Middle Dalmatia: Supplying Raw Material to Prehistoric Lithic Industries, u Forembaher S. ur. </w:t>
            </w:r>
            <w:r w:rsidRPr="00675AB5">
              <w:rPr>
                <w:bCs/>
                <w:i/>
                <w:sz w:val="20"/>
                <w:szCs w:val="20"/>
                <w:lang w:val="hr-HR"/>
              </w:rPr>
              <w:t>A Connecting Sea: Maritime Interaction in Adriatic Prehistory</w:t>
            </w:r>
            <w:r w:rsidRPr="00675AB5">
              <w:rPr>
                <w:bCs/>
                <w:sz w:val="20"/>
                <w:szCs w:val="20"/>
                <w:lang w:val="hr-HR"/>
              </w:rPr>
              <w:t>, BAR i.s. 2037, 2009, 25-46.</w:t>
            </w:r>
          </w:p>
          <w:p w:rsidR="001665A2" w:rsidRPr="00675AB5" w:rsidRDefault="001665A2" w:rsidP="001665A2">
            <w:pPr>
              <w:pStyle w:val="ListParagraph"/>
              <w:numPr>
                <w:ilvl w:val="0"/>
                <w:numId w:val="2"/>
              </w:numPr>
              <w:spacing w:line="276" w:lineRule="auto"/>
              <w:contextualSpacing w:val="0"/>
              <w:jc w:val="both"/>
              <w:rPr>
                <w:sz w:val="20"/>
                <w:szCs w:val="20"/>
                <w:lang w:val="hr-HR"/>
              </w:rPr>
            </w:pPr>
            <w:r w:rsidRPr="00675AB5">
              <w:rPr>
                <w:bCs/>
                <w:sz w:val="20"/>
                <w:szCs w:val="20"/>
                <w:lang w:val="hr-HR"/>
              </w:rPr>
              <w:t xml:space="preserve">Vujević, D., </w:t>
            </w:r>
            <w:r w:rsidRPr="00675AB5">
              <w:rPr>
                <w:i/>
                <w:sz w:val="20"/>
                <w:szCs w:val="20"/>
                <w:lang w:val="hr-HR"/>
              </w:rPr>
              <w:t>Musterijenska kultura na istočnom Jadranu</w:t>
            </w:r>
            <w:r w:rsidRPr="00675AB5">
              <w:rPr>
                <w:sz w:val="20"/>
                <w:szCs w:val="20"/>
                <w:lang w:val="hr-HR"/>
              </w:rPr>
              <w:t>. Sveučilište u Zadru, Zadar, 2011.</w:t>
            </w:r>
          </w:p>
          <w:p w:rsidR="001665A2" w:rsidRPr="00675AB5" w:rsidRDefault="001665A2" w:rsidP="00D43DBC">
            <w:pPr>
              <w:spacing w:line="276" w:lineRule="auto"/>
              <w:ind w:left="720" w:hanging="720"/>
              <w:jc w:val="both"/>
              <w:rPr>
                <w:bCs/>
                <w:sz w:val="20"/>
                <w:szCs w:val="20"/>
                <w:lang w:val="hr-HR"/>
              </w:rPr>
            </w:pPr>
          </w:p>
        </w:tc>
      </w:tr>
      <w:tr w:rsidR="001665A2" w:rsidRPr="00675AB5" w:rsidTr="00D43DBC">
        <w:tc>
          <w:tcPr>
            <w:tcW w:w="9286" w:type="dxa"/>
            <w:gridSpan w:val="14"/>
          </w:tcPr>
          <w:p w:rsidR="001665A2" w:rsidRPr="00675AB5" w:rsidRDefault="001665A2" w:rsidP="00D43DBC">
            <w:pPr>
              <w:spacing w:line="276" w:lineRule="auto"/>
              <w:rPr>
                <w:b/>
                <w:bCs/>
                <w:sz w:val="20"/>
                <w:szCs w:val="20"/>
                <w:lang w:val="hr-HR"/>
              </w:rPr>
            </w:pPr>
            <w:r w:rsidRPr="00675AB5">
              <w:rPr>
                <w:b/>
                <w:bCs/>
                <w:sz w:val="20"/>
                <w:szCs w:val="20"/>
                <w:lang w:val="hr-HR"/>
              </w:rPr>
              <w:lastRenderedPageBreak/>
              <w:t>Dopunska:</w:t>
            </w:r>
            <w:r w:rsidRPr="00675AB5">
              <w:rPr>
                <w:bCs/>
                <w:sz w:val="20"/>
                <w:szCs w:val="20"/>
                <w:lang w:val="hr-HR"/>
              </w:rPr>
              <w:t>.</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Baković, M., Mihailović, B., Mihailović, D., Morley, M., Vušković-Lučić, Z., Whallon, R., Woodward, J., 2009., Crvena Stijena excavations 2004-2006, preliminary report, </w:t>
            </w:r>
            <w:r w:rsidRPr="00675AB5">
              <w:rPr>
                <w:bCs/>
                <w:i/>
                <w:sz w:val="20"/>
                <w:szCs w:val="20"/>
                <w:lang w:val="hr-HR"/>
              </w:rPr>
              <w:t>Eurasian prehistory</w:t>
            </w:r>
            <w:r w:rsidRPr="00675AB5">
              <w:rPr>
                <w:bCs/>
                <w:sz w:val="20"/>
                <w:szCs w:val="20"/>
                <w:lang w:val="hr-HR"/>
              </w:rPr>
              <w:t>, 6 (1-2), 2009, 3-31.</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Batović, Š., 1988., Paleolitički i mezolitički ostaci s Dugog otoka, </w:t>
            </w:r>
            <w:r w:rsidRPr="00675AB5">
              <w:rPr>
                <w:bCs/>
                <w:i/>
                <w:sz w:val="20"/>
                <w:szCs w:val="20"/>
                <w:lang w:val="hr-HR"/>
              </w:rPr>
              <w:t>Poročilo o raziskovanju paleolita, neolita in eneolita v Sloveniji</w:t>
            </w:r>
            <w:r w:rsidRPr="00675AB5">
              <w:rPr>
                <w:bCs/>
                <w:sz w:val="20"/>
                <w:szCs w:val="20"/>
                <w:lang w:val="hr-HR"/>
              </w:rPr>
              <w:t>, XVI, Ljubljana, 1988., 7-53.</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Gamble, C., 1999., </w:t>
            </w:r>
            <w:r w:rsidRPr="00675AB5">
              <w:rPr>
                <w:bCs/>
                <w:i/>
                <w:sz w:val="20"/>
                <w:szCs w:val="20"/>
                <w:lang w:val="hr-HR"/>
              </w:rPr>
              <w:t>The palaeolithic societies of Europe</w:t>
            </w:r>
            <w:r w:rsidRPr="00675AB5">
              <w:rPr>
                <w:bCs/>
                <w:sz w:val="20"/>
                <w:szCs w:val="20"/>
                <w:lang w:val="hr-HR"/>
              </w:rPr>
              <w:t>, Cambridge, 1999.</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Karavanić, I., 2003., </w:t>
            </w:r>
            <w:r w:rsidRPr="00675AB5">
              <w:rPr>
                <w:bCs/>
                <w:i/>
                <w:sz w:val="20"/>
                <w:szCs w:val="20"/>
                <w:lang w:val="hr-HR"/>
              </w:rPr>
              <w:t>Mujina pećina, tragovi života dalmatinskog čovjeka</w:t>
            </w:r>
            <w:r w:rsidRPr="00675AB5">
              <w:rPr>
                <w:bCs/>
                <w:sz w:val="20"/>
                <w:szCs w:val="20"/>
                <w:lang w:val="hr-HR"/>
              </w:rPr>
              <w:t>, Kaštel Lukšić, 2003.</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Karavanić, I., 2004., </w:t>
            </w:r>
            <w:r w:rsidRPr="00675AB5">
              <w:rPr>
                <w:bCs/>
                <w:i/>
                <w:sz w:val="20"/>
                <w:szCs w:val="20"/>
                <w:lang w:val="hr-HR"/>
              </w:rPr>
              <w:t>Život Neandertalca</w:t>
            </w:r>
            <w:r w:rsidRPr="00675AB5">
              <w:rPr>
                <w:bCs/>
                <w:sz w:val="20"/>
                <w:szCs w:val="20"/>
                <w:lang w:val="hr-HR"/>
              </w:rPr>
              <w:t>, Zagreb, 2004.</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Karavanić, I., 2004., The Middle Palaeolithic Settlement of Croatia, u Conard, N. J. ed., </w:t>
            </w:r>
            <w:r w:rsidRPr="00675AB5">
              <w:rPr>
                <w:bCs/>
                <w:i/>
                <w:sz w:val="20"/>
                <w:szCs w:val="20"/>
                <w:lang w:val="hr-HR"/>
              </w:rPr>
              <w:t>Settlement Dynamics of the Middle Palaeolithic and Middle Stone Age</w:t>
            </w:r>
            <w:r w:rsidRPr="00675AB5">
              <w:rPr>
                <w:bCs/>
                <w:sz w:val="20"/>
                <w:szCs w:val="20"/>
                <w:lang w:val="hr-HR"/>
              </w:rPr>
              <w:t>, vol. II., Tübingen, 2004., 251-267.</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Karavanić, I. -Golubić, V. -  Kurtanjek, D. -Šošić, R. -  Zupanič J., 2008., Litička analiza materijala iz Mujine pećine, </w:t>
            </w:r>
            <w:r w:rsidRPr="00675AB5">
              <w:rPr>
                <w:bCs/>
                <w:i/>
                <w:sz w:val="20"/>
                <w:szCs w:val="20"/>
                <w:lang w:val="hr-HR"/>
              </w:rPr>
              <w:t>Vjesnik za arheologiju i povijest dalmatinsku</w:t>
            </w:r>
            <w:r w:rsidRPr="00675AB5">
              <w:rPr>
                <w:bCs/>
                <w:sz w:val="20"/>
                <w:szCs w:val="20"/>
                <w:lang w:val="hr-HR"/>
              </w:rPr>
              <w:t>, Vol.1 No.101, Split, 2008., 29-58.</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Kuhn, S. L., 1995., </w:t>
            </w:r>
            <w:r w:rsidRPr="00675AB5">
              <w:rPr>
                <w:bCs/>
                <w:i/>
                <w:sz w:val="20"/>
                <w:szCs w:val="20"/>
                <w:lang w:val="hr-HR"/>
              </w:rPr>
              <w:t>Mousterian lithic technology: An ecological perspective</w:t>
            </w:r>
            <w:r w:rsidRPr="00675AB5">
              <w:rPr>
                <w:bCs/>
                <w:sz w:val="20"/>
                <w:szCs w:val="20"/>
                <w:lang w:val="hr-HR"/>
              </w:rPr>
              <w:t>, Princeton, New Yersey, 1995.</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Malez, M., 1966., Rasprostranjenost paleolitika i mezolitika u širem pojasu naše jadranske obale, </w:t>
            </w:r>
            <w:r w:rsidRPr="00675AB5">
              <w:rPr>
                <w:bCs/>
                <w:i/>
                <w:sz w:val="20"/>
                <w:szCs w:val="20"/>
                <w:lang w:val="hr-HR"/>
              </w:rPr>
              <w:t>Vjesnik za arheologiju i historiju dalmatinsku, 68.</w:t>
            </w:r>
            <w:r w:rsidRPr="00675AB5">
              <w:rPr>
                <w:bCs/>
                <w:sz w:val="20"/>
                <w:szCs w:val="20"/>
                <w:lang w:val="hr-HR"/>
              </w:rPr>
              <w:t>, Split, 1966., 7-26.</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Malez, M., 1971., Naseljavanje istočne jadranske obale u paleolitu, </w:t>
            </w:r>
            <w:r w:rsidRPr="00675AB5">
              <w:rPr>
                <w:bCs/>
                <w:i/>
                <w:sz w:val="20"/>
                <w:szCs w:val="20"/>
                <w:lang w:val="hr-HR"/>
              </w:rPr>
              <w:t>Zbornik za narodni život i običaje</w:t>
            </w:r>
            <w:r w:rsidRPr="00675AB5">
              <w:rPr>
                <w:bCs/>
                <w:sz w:val="20"/>
                <w:szCs w:val="20"/>
                <w:lang w:val="hr-HR"/>
              </w:rPr>
              <w:t>, 45., 1971., 503-513.</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Miracle, P., 2005., Late Mousterian subsistance and cave use in Dalmatia: the zooarchaeology of Mujina pećina, Croatia, </w:t>
            </w:r>
            <w:r w:rsidRPr="00675AB5">
              <w:rPr>
                <w:bCs/>
                <w:i/>
                <w:sz w:val="20"/>
                <w:szCs w:val="20"/>
                <w:lang w:val="hr-HR"/>
              </w:rPr>
              <w:t>International journal of Osteoarchaeology</w:t>
            </w:r>
            <w:r w:rsidRPr="00675AB5">
              <w:rPr>
                <w:bCs/>
                <w:sz w:val="20"/>
                <w:szCs w:val="20"/>
                <w:lang w:val="hr-HR"/>
              </w:rPr>
              <w:t>, 15, 2005., 84-105.</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iCs/>
                <w:sz w:val="20"/>
                <w:szCs w:val="20"/>
                <w:lang w:val="hr-HR"/>
              </w:rPr>
              <w:t xml:space="preserve">Morley, M. W., 2007., </w:t>
            </w:r>
            <w:r w:rsidRPr="00675AB5">
              <w:rPr>
                <w:bCs/>
                <w:i/>
                <w:iCs/>
                <w:sz w:val="20"/>
                <w:szCs w:val="20"/>
                <w:lang w:val="hr-HR"/>
              </w:rPr>
              <w:t>Mediterranean Quaternary Rockshelter Sediment Records: a Multi-proxi Approach to Environmental Reconstruction</w:t>
            </w:r>
            <w:r w:rsidRPr="00675AB5">
              <w:rPr>
                <w:bCs/>
                <w:sz w:val="20"/>
                <w:szCs w:val="20"/>
                <w:lang w:val="hr-HR"/>
              </w:rPr>
              <w:t>. neobjavljena doktorska dizertacija, University of Manchester, Manchester</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Papagianni, D., 2000., </w:t>
            </w:r>
            <w:r w:rsidRPr="00675AB5">
              <w:rPr>
                <w:bCs/>
                <w:i/>
                <w:sz w:val="20"/>
                <w:szCs w:val="20"/>
                <w:lang w:val="hr-HR"/>
              </w:rPr>
              <w:t>Middle Palaeolithic occupation and technology in N. W. Greece</w:t>
            </w:r>
            <w:r w:rsidRPr="00675AB5">
              <w:rPr>
                <w:bCs/>
                <w:sz w:val="20"/>
                <w:szCs w:val="20"/>
                <w:lang w:val="hr-HR"/>
              </w:rPr>
              <w:t>, BAR i. s., 882., Oxford, 2000.</w:t>
            </w:r>
          </w:p>
          <w:p w:rsidR="001665A2" w:rsidRPr="00675AB5" w:rsidRDefault="001665A2" w:rsidP="001665A2">
            <w:pPr>
              <w:pStyle w:val="ListParagraph"/>
              <w:numPr>
                <w:ilvl w:val="0"/>
                <w:numId w:val="4"/>
              </w:numPr>
              <w:spacing w:line="276" w:lineRule="auto"/>
              <w:contextualSpacing w:val="0"/>
              <w:jc w:val="both"/>
              <w:rPr>
                <w:bCs/>
                <w:sz w:val="20"/>
                <w:szCs w:val="20"/>
                <w:lang w:val="hr-HR"/>
              </w:rPr>
            </w:pPr>
            <w:r w:rsidRPr="00675AB5">
              <w:rPr>
                <w:bCs/>
                <w:sz w:val="20"/>
                <w:szCs w:val="20"/>
                <w:lang w:val="hr-HR"/>
              </w:rPr>
              <w:t xml:space="preserve">Rink, W. J. – Karavanić, I. – Pettitt, P. B. – van der Plicht, J. – Smith, F. H., Bartoll, J., 2002., ESR and AMS-base </w:t>
            </w:r>
            <w:r w:rsidRPr="00675AB5">
              <w:rPr>
                <w:bCs/>
                <w:sz w:val="20"/>
                <w:szCs w:val="20"/>
                <w:vertAlign w:val="superscript"/>
                <w:lang w:val="hr-HR"/>
              </w:rPr>
              <w:t>14</w:t>
            </w:r>
            <w:r w:rsidRPr="00675AB5">
              <w:rPr>
                <w:bCs/>
                <w:sz w:val="20"/>
                <w:szCs w:val="20"/>
                <w:lang w:val="hr-HR"/>
              </w:rPr>
              <w:t xml:space="preserve">C dating of Mousterian levels at Mujina pećina, Dalmatia, Croatia, </w:t>
            </w:r>
            <w:r w:rsidRPr="00675AB5">
              <w:rPr>
                <w:bCs/>
                <w:i/>
                <w:sz w:val="20"/>
                <w:szCs w:val="20"/>
                <w:lang w:val="hr-HR"/>
              </w:rPr>
              <w:t>Journal of archaeological science</w:t>
            </w:r>
            <w:r w:rsidRPr="00675AB5">
              <w:rPr>
                <w:bCs/>
                <w:sz w:val="20"/>
                <w:szCs w:val="20"/>
                <w:lang w:val="hr-HR"/>
              </w:rPr>
              <w:t>, 29, 2002., 943-952.</w:t>
            </w:r>
          </w:p>
          <w:p w:rsidR="001665A2" w:rsidRPr="00675AB5" w:rsidRDefault="001665A2" w:rsidP="001665A2">
            <w:pPr>
              <w:pStyle w:val="ListParagraph"/>
              <w:numPr>
                <w:ilvl w:val="0"/>
                <w:numId w:val="2"/>
              </w:numPr>
              <w:spacing w:line="276" w:lineRule="auto"/>
              <w:contextualSpacing w:val="0"/>
              <w:jc w:val="both"/>
              <w:rPr>
                <w:sz w:val="20"/>
                <w:szCs w:val="20"/>
                <w:lang w:val="hr-HR"/>
              </w:rPr>
            </w:pPr>
            <w:r w:rsidRPr="00675AB5">
              <w:rPr>
                <w:bCs/>
                <w:sz w:val="20"/>
                <w:szCs w:val="20"/>
                <w:lang w:val="hr-HR"/>
              </w:rPr>
              <w:t xml:space="preserve">Vujević, D., </w:t>
            </w:r>
            <w:r w:rsidRPr="00675AB5">
              <w:rPr>
                <w:i/>
                <w:sz w:val="20"/>
                <w:szCs w:val="20"/>
                <w:lang w:val="hr-HR"/>
              </w:rPr>
              <w:t>Srednji paleolitik na području južno od Ražanca</w:t>
            </w:r>
            <w:r w:rsidRPr="00675AB5">
              <w:rPr>
                <w:sz w:val="20"/>
                <w:szCs w:val="20"/>
                <w:lang w:val="hr-HR"/>
              </w:rPr>
              <w:t>. Sveučilište u Zadru, Zadar, 2007.</w:t>
            </w:r>
          </w:p>
          <w:p w:rsidR="001665A2" w:rsidRPr="00675AB5" w:rsidRDefault="001665A2" w:rsidP="00D43DBC">
            <w:pPr>
              <w:spacing w:line="276" w:lineRule="auto"/>
              <w:rPr>
                <w:bCs/>
                <w:sz w:val="20"/>
                <w:szCs w:val="20"/>
                <w:lang w:val="hr-HR"/>
              </w:rPr>
            </w:pPr>
          </w:p>
        </w:tc>
      </w:tr>
      <w:tr w:rsidR="001665A2" w:rsidRPr="00675AB5" w:rsidTr="00D43DBC">
        <w:trPr>
          <w:cantSplit/>
        </w:trPr>
        <w:tc>
          <w:tcPr>
            <w:tcW w:w="4447" w:type="dxa"/>
            <w:gridSpan w:val="8"/>
          </w:tcPr>
          <w:p w:rsidR="001665A2" w:rsidRPr="00675AB5" w:rsidRDefault="001665A2" w:rsidP="00D43DBC">
            <w:pPr>
              <w:spacing w:line="276" w:lineRule="auto"/>
              <w:rPr>
                <w:sz w:val="20"/>
                <w:szCs w:val="20"/>
                <w:lang w:val="hr-HR"/>
              </w:rPr>
            </w:pPr>
            <w:r w:rsidRPr="00675AB5">
              <w:rPr>
                <w:sz w:val="20"/>
                <w:szCs w:val="20"/>
                <w:lang w:val="hr-HR"/>
              </w:rPr>
              <w:lastRenderedPageBreak/>
              <w:t xml:space="preserve">Registracija za slušanje kolegija: </w:t>
            </w:r>
            <w:r w:rsidRPr="00675AB5">
              <w:rPr>
                <w:b/>
                <w:bCs/>
                <w:sz w:val="20"/>
                <w:szCs w:val="20"/>
                <w:lang w:val="hr-HR"/>
              </w:rPr>
              <w:t>DA</w:t>
            </w:r>
          </w:p>
        </w:tc>
        <w:tc>
          <w:tcPr>
            <w:tcW w:w="4839" w:type="dxa"/>
            <w:gridSpan w:val="6"/>
          </w:tcPr>
          <w:p w:rsidR="001665A2" w:rsidRPr="00675AB5" w:rsidRDefault="001665A2" w:rsidP="00D43DBC">
            <w:pPr>
              <w:spacing w:line="276" w:lineRule="auto"/>
              <w:rPr>
                <w:sz w:val="20"/>
                <w:szCs w:val="20"/>
                <w:lang w:val="hr-HR"/>
              </w:rPr>
            </w:pPr>
            <w:r w:rsidRPr="00675AB5">
              <w:rPr>
                <w:sz w:val="20"/>
                <w:szCs w:val="20"/>
                <w:lang w:val="hr-HR"/>
              </w:rPr>
              <w:t>Registracija za ispit:</w:t>
            </w:r>
          </w:p>
        </w:tc>
      </w:tr>
      <w:tr w:rsidR="001665A2" w:rsidRPr="00675AB5" w:rsidTr="00D43DBC">
        <w:tc>
          <w:tcPr>
            <w:tcW w:w="9286" w:type="dxa"/>
            <w:gridSpan w:val="14"/>
          </w:tcPr>
          <w:p w:rsidR="001665A2" w:rsidRPr="00675AB5" w:rsidRDefault="001665A2" w:rsidP="00D43DBC">
            <w:pPr>
              <w:spacing w:line="276" w:lineRule="auto"/>
              <w:rPr>
                <w:b/>
                <w:bCs/>
                <w:smallCaps/>
                <w:sz w:val="20"/>
                <w:szCs w:val="20"/>
                <w:lang w:val="hr-HR"/>
              </w:rPr>
            </w:pPr>
            <w:r w:rsidRPr="00675AB5">
              <w:rPr>
                <w:b/>
                <w:bCs/>
                <w:smallCaps/>
                <w:sz w:val="20"/>
                <w:szCs w:val="20"/>
                <w:lang w:val="hr-HR"/>
              </w:rPr>
              <w:t>Preduvjeti za upis kolegija:</w:t>
            </w:r>
          </w:p>
        </w:tc>
      </w:tr>
      <w:tr w:rsidR="001665A2" w:rsidRPr="00675AB5" w:rsidTr="00D43DBC">
        <w:tc>
          <w:tcPr>
            <w:tcW w:w="9286" w:type="dxa"/>
            <w:gridSpan w:val="14"/>
          </w:tcPr>
          <w:p w:rsidR="001665A2" w:rsidRPr="00675AB5" w:rsidRDefault="001665A2" w:rsidP="00D43DBC">
            <w:pPr>
              <w:spacing w:line="276" w:lineRule="auto"/>
              <w:rPr>
                <w:sz w:val="20"/>
                <w:szCs w:val="20"/>
                <w:lang w:val="hr-HR"/>
              </w:rPr>
            </w:pPr>
            <w:r w:rsidRPr="00675AB5">
              <w:rPr>
                <w:b/>
                <w:bCs/>
                <w:smallCaps/>
                <w:sz w:val="20"/>
                <w:szCs w:val="20"/>
                <w:lang w:val="hr-HR"/>
              </w:rPr>
              <w:t>referentni radovi nastavnika za kolegij:</w:t>
            </w:r>
          </w:p>
          <w:p w:rsidR="001665A2" w:rsidRPr="00675AB5" w:rsidRDefault="001665A2" w:rsidP="001665A2">
            <w:pPr>
              <w:pStyle w:val="ListParagraph"/>
              <w:numPr>
                <w:ilvl w:val="0"/>
                <w:numId w:val="2"/>
              </w:numPr>
              <w:spacing w:line="276" w:lineRule="auto"/>
              <w:contextualSpacing w:val="0"/>
              <w:jc w:val="both"/>
              <w:rPr>
                <w:bCs/>
                <w:sz w:val="20"/>
                <w:szCs w:val="20"/>
                <w:lang w:val="hr-HR"/>
              </w:rPr>
            </w:pPr>
            <w:r w:rsidRPr="00675AB5">
              <w:rPr>
                <w:bCs/>
                <w:sz w:val="20"/>
                <w:szCs w:val="20"/>
                <w:lang w:val="hr-HR"/>
              </w:rPr>
              <w:t>Vujević, D., The relations between Middle Paleolithic open air sites in Zadar hinterland and open air sites on Zadar islands. U S. Forenbaher ur., </w:t>
            </w:r>
            <w:r w:rsidRPr="00675AB5">
              <w:rPr>
                <w:bCs/>
                <w:i/>
                <w:sz w:val="20"/>
                <w:szCs w:val="20"/>
                <w:lang w:val="hr-HR"/>
              </w:rPr>
              <w:t>A Connecting Sea: Maritime Interaction in Adriatic Prehistory</w:t>
            </w:r>
            <w:r w:rsidRPr="00675AB5">
              <w:rPr>
                <w:bCs/>
                <w:sz w:val="20"/>
                <w:szCs w:val="20"/>
                <w:lang w:val="hr-HR"/>
              </w:rPr>
              <w:t>, BAR i.s. 2037, 2009., 1-11.</w:t>
            </w:r>
          </w:p>
          <w:p w:rsidR="001665A2" w:rsidRPr="00675AB5" w:rsidRDefault="001665A2" w:rsidP="001665A2">
            <w:pPr>
              <w:pStyle w:val="ListParagraph"/>
              <w:numPr>
                <w:ilvl w:val="0"/>
                <w:numId w:val="2"/>
              </w:numPr>
              <w:spacing w:line="276" w:lineRule="auto"/>
              <w:contextualSpacing w:val="0"/>
              <w:jc w:val="both"/>
              <w:rPr>
                <w:sz w:val="20"/>
                <w:szCs w:val="20"/>
                <w:lang w:val="hr-HR"/>
              </w:rPr>
            </w:pPr>
            <w:r w:rsidRPr="00675AB5">
              <w:rPr>
                <w:bCs/>
                <w:sz w:val="20"/>
                <w:szCs w:val="20"/>
                <w:lang w:val="hr-HR"/>
              </w:rPr>
              <w:t xml:space="preserve">Vujević, D., </w:t>
            </w:r>
            <w:r w:rsidRPr="00675AB5">
              <w:rPr>
                <w:i/>
                <w:sz w:val="20"/>
                <w:szCs w:val="20"/>
                <w:lang w:val="hr-HR"/>
              </w:rPr>
              <w:t>Srednji paleolitik na području južno od Ražanca</w:t>
            </w:r>
            <w:r w:rsidRPr="00675AB5">
              <w:rPr>
                <w:sz w:val="20"/>
                <w:szCs w:val="20"/>
                <w:lang w:val="hr-HR"/>
              </w:rPr>
              <w:t>. Sveučilište u Zadru, Zadar, 2007.</w:t>
            </w:r>
          </w:p>
          <w:p w:rsidR="001665A2" w:rsidRPr="00675AB5" w:rsidRDefault="001665A2" w:rsidP="001665A2">
            <w:pPr>
              <w:pStyle w:val="ListParagraph"/>
              <w:numPr>
                <w:ilvl w:val="0"/>
                <w:numId w:val="2"/>
              </w:numPr>
              <w:spacing w:line="276" w:lineRule="auto"/>
              <w:contextualSpacing w:val="0"/>
              <w:jc w:val="both"/>
              <w:rPr>
                <w:sz w:val="20"/>
                <w:szCs w:val="20"/>
                <w:lang w:val="hr-HR"/>
              </w:rPr>
            </w:pPr>
            <w:r w:rsidRPr="00675AB5">
              <w:rPr>
                <w:bCs/>
                <w:sz w:val="20"/>
                <w:szCs w:val="20"/>
                <w:lang w:val="hr-HR"/>
              </w:rPr>
              <w:t xml:space="preserve">Vujević, D., </w:t>
            </w:r>
            <w:r w:rsidRPr="00675AB5">
              <w:rPr>
                <w:i/>
                <w:sz w:val="20"/>
                <w:szCs w:val="20"/>
                <w:lang w:val="hr-HR"/>
              </w:rPr>
              <w:t>Musterijenska kultura na istočnom Jadranu</w:t>
            </w:r>
            <w:r w:rsidRPr="00675AB5">
              <w:rPr>
                <w:sz w:val="20"/>
                <w:szCs w:val="20"/>
                <w:lang w:val="hr-HR"/>
              </w:rPr>
              <w:t>. Sveučilište u Zadru, Zadar, 2011.</w:t>
            </w:r>
          </w:p>
          <w:p w:rsidR="001665A2" w:rsidRPr="00675AB5" w:rsidRDefault="001665A2" w:rsidP="00D43DBC">
            <w:pPr>
              <w:spacing w:line="276" w:lineRule="auto"/>
              <w:rPr>
                <w:sz w:val="20"/>
                <w:szCs w:val="20"/>
                <w:lang w:val="hr-HR"/>
              </w:rPr>
            </w:pPr>
          </w:p>
        </w:tc>
      </w:tr>
    </w:tbl>
    <w:p w:rsidR="002455B8" w:rsidRDefault="002455B8"/>
    <w:sectPr w:rsidR="002455B8" w:rsidSect="004C01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D70C9"/>
    <w:multiLevelType w:val="hybridMultilevel"/>
    <w:tmpl w:val="B7DE315E"/>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nsid w:val="34CD4BB3"/>
    <w:multiLevelType w:val="hybridMultilevel"/>
    <w:tmpl w:val="88E679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3DCB58B6"/>
    <w:multiLevelType w:val="hybridMultilevel"/>
    <w:tmpl w:val="2A6024D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59F67876"/>
    <w:multiLevelType w:val="hybridMultilevel"/>
    <w:tmpl w:val="30F0C6C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D5"/>
    <w:rsid w:val="001665A2"/>
    <w:rsid w:val="002455B8"/>
    <w:rsid w:val="003C4057"/>
    <w:rsid w:val="004C01A1"/>
    <w:rsid w:val="005727DA"/>
    <w:rsid w:val="00677C12"/>
    <w:rsid w:val="007B6F3A"/>
    <w:rsid w:val="007D54A0"/>
    <w:rsid w:val="00865CA9"/>
    <w:rsid w:val="00903ED4"/>
    <w:rsid w:val="00996565"/>
    <w:rsid w:val="009E412B"/>
    <w:rsid w:val="00D25FB2"/>
    <w:rsid w:val="00D338D5"/>
    <w:rsid w:val="00EA055C"/>
    <w:rsid w:val="00EB7C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95530-0087-4157-8E3E-85FEA241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C15"/>
    <w:pPr>
      <w:spacing w:after="0" w:line="240" w:lineRule="auto"/>
    </w:pPr>
    <w:rPr>
      <w:rFonts w:ascii="Times New Roman" w:eastAsia="Times New Roman" w:hAnsi="Times New Roman" w:cs="Times New Roman"/>
      <w:sz w:val="24"/>
      <w:szCs w:val="24"/>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uvlaka 2"/>
    <w:basedOn w:val="Normal"/>
    <w:link w:val="BodyTextChar1"/>
    <w:uiPriority w:val="99"/>
    <w:rsid w:val="007B6F3A"/>
    <w:pPr>
      <w:jc w:val="both"/>
    </w:pPr>
    <w:rPr>
      <w:rFonts w:ascii="Calibri" w:eastAsia="Calibri" w:hAnsi="Calibri"/>
      <w:sz w:val="22"/>
      <w:szCs w:val="22"/>
      <w:lang w:val="hr-HR" w:eastAsia="en-US"/>
    </w:rPr>
  </w:style>
  <w:style w:type="character" w:customStyle="1" w:styleId="BodyTextChar">
    <w:name w:val="Body Text Char"/>
    <w:basedOn w:val="DefaultParagraphFont"/>
    <w:uiPriority w:val="99"/>
    <w:semiHidden/>
    <w:rsid w:val="007B6F3A"/>
    <w:rPr>
      <w:rFonts w:ascii="Times New Roman" w:eastAsia="Times New Roman" w:hAnsi="Times New Roman" w:cs="Times New Roman"/>
      <w:sz w:val="24"/>
      <w:szCs w:val="24"/>
      <w:lang w:val="en-GB" w:eastAsia="hr-HR"/>
    </w:rPr>
  </w:style>
  <w:style w:type="character" w:customStyle="1" w:styleId="BodyTextChar1">
    <w:name w:val="Body Text Char1"/>
    <w:aliases w:val="uvlaka 2 Char1"/>
    <w:link w:val="BodyText"/>
    <w:uiPriority w:val="99"/>
    <w:locked/>
    <w:rsid w:val="007B6F3A"/>
    <w:rPr>
      <w:rFonts w:ascii="Calibri" w:eastAsia="Calibri" w:hAnsi="Calibri" w:cs="Times New Roman"/>
    </w:rPr>
  </w:style>
  <w:style w:type="paragraph" w:styleId="BodyText2">
    <w:name w:val="Body Text 2"/>
    <w:basedOn w:val="Normal"/>
    <w:link w:val="BodyText2Char"/>
    <w:uiPriority w:val="99"/>
    <w:rsid w:val="009E412B"/>
    <w:pPr>
      <w:spacing w:after="120" w:line="480" w:lineRule="auto"/>
    </w:pPr>
  </w:style>
  <w:style w:type="character" w:customStyle="1" w:styleId="BodyText2Char">
    <w:name w:val="Body Text 2 Char"/>
    <w:basedOn w:val="DefaultParagraphFont"/>
    <w:link w:val="BodyText2"/>
    <w:uiPriority w:val="99"/>
    <w:rsid w:val="009E412B"/>
    <w:rPr>
      <w:rFonts w:ascii="Times New Roman" w:eastAsia="Times New Roman" w:hAnsi="Times New Roman" w:cs="Times New Roman"/>
      <w:sz w:val="24"/>
      <w:szCs w:val="24"/>
      <w:lang w:val="en-GB" w:eastAsia="hr-HR"/>
    </w:rPr>
  </w:style>
  <w:style w:type="paragraph" w:styleId="BodyTextIndent">
    <w:name w:val="Body Text Indent"/>
    <w:basedOn w:val="Normal"/>
    <w:link w:val="BodyTextIndentChar"/>
    <w:uiPriority w:val="99"/>
    <w:rsid w:val="009E412B"/>
    <w:pPr>
      <w:spacing w:after="120"/>
      <w:ind w:left="283"/>
    </w:pPr>
  </w:style>
  <w:style w:type="character" w:customStyle="1" w:styleId="BodyTextIndentChar">
    <w:name w:val="Body Text Indent Char"/>
    <w:basedOn w:val="DefaultParagraphFont"/>
    <w:link w:val="BodyTextIndent"/>
    <w:uiPriority w:val="99"/>
    <w:rsid w:val="009E412B"/>
    <w:rPr>
      <w:rFonts w:ascii="Times New Roman" w:eastAsia="Times New Roman" w:hAnsi="Times New Roman" w:cs="Times New Roman"/>
      <w:sz w:val="24"/>
      <w:szCs w:val="24"/>
      <w:lang w:val="en-GB" w:eastAsia="hr-HR"/>
    </w:rPr>
  </w:style>
  <w:style w:type="paragraph" w:styleId="ListParagraph">
    <w:name w:val="List Paragraph"/>
    <w:basedOn w:val="Normal"/>
    <w:uiPriority w:val="99"/>
    <w:qFormat/>
    <w:rsid w:val="00166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stutic</dc:creator>
  <cp:keywords/>
  <dc:description/>
  <cp:lastModifiedBy>stutic</cp:lastModifiedBy>
  <cp:revision>2</cp:revision>
  <dcterms:created xsi:type="dcterms:W3CDTF">2017-11-02T09:42:00Z</dcterms:created>
  <dcterms:modified xsi:type="dcterms:W3CDTF">2017-11-02T09:42:00Z</dcterms:modified>
</cp:coreProperties>
</file>