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CC5" w14:textId="77777777" w:rsidR="00155FFB" w:rsidRPr="00FF1020" w:rsidRDefault="008942F0" w:rsidP="00527C5F">
      <w:pPr>
        <w:jc w:val="center"/>
        <w:rPr>
          <w:b/>
          <w:sz w:val="24"/>
        </w:rPr>
      </w:pPr>
      <w:r w:rsidRPr="00FF1020">
        <w:rPr>
          <w:b/>
          <w:sz w:val="24"/>
        </w:rPr>
        <w:t>Izvedbeni plan nastave (</w:t>
      </w:r>
      <w:proofErr w:type="spellStart"/>
      <w:r w:rsidR="0010332B" w:rsidRPr="00FF1020">
        <w:rPr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sz w:val="24"/>
        </w:rPr>
        <w:footnoteReference w:id="1"/>
      </w:r>
      <w:r w:rsidRPr="00FF1020">
        <w:rPr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8AE1C1A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59BF45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80BB29F" w14:textId="77777777" w:rsidR="004B553E" w:rsidRPr="00FF1020" w:rsidRDefault="00FD686C" w:rsidP="0079745E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3D08800" w14:textId="77777777" w:rsidR="004B553E" w:rsidRPr="00FF1020" w:rsidRDefault="004B553E" w:rsidP="0079745E">
            <w:pPr>
              <w:spacing w:before="20" w:after="20"/>
              <w:jc w:val="center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21FE6D26" w14:textId="7E369431" w:rsidR="004B553E" w:rsidRPr="00FF1020" w:rsidRDefault="00726AD3" w:rsidP="0079745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03349">
              <w:rPr>
                <w:sz w:val="20"/>
              </w:rPr>
              <w:t>4</w:t>
            </w:r>
            <w:r>
              <w:rPr>
                <w:sz w:val="20"/>
              </w:rPr>
              <w:t>.-202</w:t>
            </w:r>
            <w:r w:rsidR="00103349">
              <w:rPr>
                <w:sz w:val="20"/>
              </w:rPr>
              <w:t>5</w:t>
            </w:r>
            <w:r w:rsidR="009325BE">
              <w:rPr>
                <w:sz w:val="20"/>
              </w:rPr>
              <w:t>.</w:t>
            </w:r>
          </w:p>
        </w:tc>
      </w:tr>
      <w:tr w:rsidR="004B553E" w:rsidRPr="00FF1020" w14:paraId="4919428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A78EE5C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C5CFBE3" w14:textId="77777777" w:rsidR="004B553E" w:rsidRPr="00FF1020" w:rsidRDefault="009325BE" w:rsidP="0079745E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Institucije rimskog svijeta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63823B4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2BEB456" w14:textId="77777777" w:rsidR="004B553E" w:rsidRPr="00FF1020" w:rsidRDefault="009325BE" w:rsidP="0079745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4B553E" w:rsidRPr="00FF1020" w14:paraId="64C60371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918FA9F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E538298" w14:textId="77777777" w:rsidR="004B553E" w:rsidRPr="00FF1020" w:rsidRDefault="00775429" w:rsidP="0079745E">
            <w:pPr>
              <w:spacing w:before="20" w:after="20"/>
              <w:rPr>
                <w:b/>
                <w:sz w:val="20"/>
              </w:rPr>
            </w:pPr>
            <w:r>
              <w:rPr>
                <w:sz w:val="20"/>
              </w:rPr>
              <w:t>Predd</w:t>
            </w:r>
            <w:r w:rsidR="00FD686C">
              <w:rPr>
                <w:sz w:val="20"/>
              </w:rPr>
              <w:t>iplomski studij arheologije</w:t>
            </w:r>
          </w:p>
        </w:tc>
      </w:tr>
      <w:tr w:rsidR="004B553E" w:rsidRPr="00FF1020" w14:paraId="2BB2FF8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B7EFA91" w14:textId="77777777" w:rsidR="004B553E" w:rsidRPr="00FF1020" w:rsidRDefault="004B553E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15F5175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0C4EBF6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D9D4350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52C3326" w14:textId="77777777" w:rsidR="004B553E" w:rsidRPr="00FF1020" w:rsidRDefault="005A7806" w:rsidP="0079745E">
            <w:pPr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D44608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021698" w14:textId="77777777" w:rsidR="004B553E" w:rsidRPr="00FF1020" w:rsidRDefault="004B553E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429874F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8389D1D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53E" w:rsidRPr="00FF1020"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EF0634F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471EBE9E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18382FA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5.</w:t>
            </w:r>
          </w:p>
        </w:tc>
      </w:tr>
      <w:tr w:rsidR="004B553E" w:rsidRPr="00FF1020" w14:paraId="51E6FB1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38CFC0" w14:textId="77777777" w:rsidR="004B553E" w:rsidRPr="00FF1020" w:rsidRDefault="004B553E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586C584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Cs w:val="20"/>
              </w:rPr>
            </w:pPr>
            <w:sdt>
              <w:sdtPr>
                <w:rPr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B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B553E" w:rsidRPr="00FF1020">
              <w:rPr>
                <w:szCs w:val="20"/>
              </w:rPr>
              <w:t xml:space="preserve"> zimski</w:t>
            </w:r>
          </w:p>
          <w:p w14:paraId="3E542318" w14:textId="77777777" w:rsidR="004B553E" w:rsidRPr="00FF1020" w:rsidRDefault="005A7806" w:rsidP="0079745E">
            <w:pPr>
              <w:spacing w:before="20" w:after="20"/>
              <w:rPr>
                <w:b/>
                <w:sz w:val="20"/>
              </w:rPr>
            </w:pPr>
            <w:sdt>
              <w:sdtPr>
                <w:rPr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BE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B553E" w:rsidRPr="00FF1020">
              <w:rPr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CD33283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D45A535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43DF9F05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53E" w:rsidRPr="00FF1020"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E46891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98C7623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V.</w:t>
            </w:r>
          </w:p>
        </w:tc>
        <w:tc>
          <w:tcPr>
            <w:tcW w:w="1103" w:type="dxa"/>
            <w:vAlign w:val="center"/>
          </w:tcPr>
          <w:p w14:paraId="1C9D1979" w14:textId="77777777" w:rsidR="004B553E" w:rsidRPr="00FF1020" w:rsidRDefault="005A7806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VI.</w:t>
            </w:r>
          </w:p>
        </w:tc>
      </w:tr>
      <w:tr w:rsidR="00393964" w:rsidRPr="00FF1020" w14:paraId="5838235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53A994A" w14:textId="77777777" w:rsidR="00393964" w:rsidRPr="00FF1020" w:rsidRDefault="00393964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41764C1" w14:textId="77777777" w:rsidR="00393964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szCs w:val="20"/>
              </w:rPr>
              <w:t xml:space="preserve"> obvezni</w:t>
            </w:r>
            <w:r w:rsidR="00453362" w:rsidRPr="00FF1020">
              <w:rPr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08114C9" w14:textId="77777777" w:rsidR="00393964" w:rsidRPr="00FF1020" w:rsidRDefault="005A7806" w:rsidP="00FF1020">
            <w:pPr>
              <w:spacing w:before="20" w:after="20"/>
              <w:jc w:val="center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szCs w:val="20"/>
              </w:rPr>
              <w:t xml:space="preserve"> izborni</w:t>
            </w:r>
            <w:r w:rsidR="00453362" w:rsidRPr="00FF1020">
              <w:rPr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307203D" w14:textId="77777777" w:rsidR="00393964" w:rsidRPr="00FF1020" w:rsidRDefault="005A7806" w:rsidP="0079745E">
            <w:pPr>
              <w:tabs>
                <w:tab w:val="left" w:pos="1218"/>
              </w:tabs>
              <w:spacing w:before="20" w:after="20"/>
            </w:pPr>
            <w:sdt>
              <w:sdtPr>
                <w:rPr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szCs w:val="20"/>
              </w:rPr>
              <w:t xml:space="preserve"> izborni </w:t>
            </w:r>
            <w:r w:rsidR="00453362" w:rsidRPr="00FF1020">
              <w:rPr>
                <w:szCs w:val="20"/>
              </w:rPr>
              <w:t xml:space="preserve">kolegij </w:t>
            </w:r>
            <w:r w:rsidR="00393964" w:rsidRPr="00FF1020">
              <w:rPr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36C870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sz w:val="17"/>
                <w:szCs w:val="17"/>
              </w:rPr>
            </w:pPr>
            <w:r w:rsidRPr="00FF1020">
              <w:rPr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583BF60" w14:textId="77777777" w:rsidR="00393964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Cs w:val="20"/>
              </w:rPr>
            </w:pPr>
            <w:sdt>
              <w:sdtPr>
                <w:rPr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szCs w:val="20"/>
              </w:rPr>
              <w:t xml:space="preserve"> DA</w:t>
            </w:r>
          </w:p>
          <w:p w14:paraId="6A519E70" w14:textId="77777777" w:rsidR="00393964" w:rsidRPr="00FF1020" w:rsidRDefault="005A7806" w:rsidP="0079745E">
            <w:pPr>
              <w:tabs>
                <w:tab w:val="left" w:pos="1218"/>
              </w:tabs>
              <w:spacing w:before="20" w:after="20"/>
            </w:pPr>
            <w:sdt>
              <w:sdtPr>
                <w:rPr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szCs w:val="20"/>
              </w:rPr>
              <w:t xml:space="preserve"> NE</w:t>
            </w:r>
          </w:p>
        </w:tc>
      </w:tr>
      <w:tr w:rsidR="00453362" w:rsidRPr="00FF1020" w14:paraId="61F0A5C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CB1066A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Opterećenje</w:t>
            </w:r>
            <w:r w:rsidR="00FC2198" w:rsidRPr="00FF1020">
              <w:rPr>
                <w:b/>
              </w:rPr>
              <w:t xml:space="preserve"> </w:t>
            </w:r>
          </w:p>
        </w:tc>
        <w:tc>
          <w:tcPr>
            <w:tcW w:w="413" w:type="dxa"/>
          </w:tcPr>
          <w:p w14:paraId="2E4FFEBB" w14:textId="77777777" w:rsidR="00453362" w:rsidRPr="00FF1020" w:rsidRDefault="00453362" w:rsidP="00D5523D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4DEC06E7" w14:textId="77777777" w:rsidR="00453362" w:rsidRPr="00FF1020" w:rsidRDefault="00453362" w:rsidP="00D5523D">
            <w:pPr>
              <w:spacing w:before="20" w:after="20"/>
              <w:jc w:val="center"/>
              <w:rPr>
                <w:b/>
                <w:szCs w:val="20"/>
              </w:rPr>
            </w:pPr>
            <w:r w:rsidRPr="00FF1020">
              <w:rPr>
                <w:b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2D1A3E2" w14:textId="77777777" w:rsidR="00453362" w:rsidRPr="00FF1020" w:rsidRDefault="00453362" w:rsidP="00FF1020">
            <w:pPr>
              <w:spacing w:before="20" w:after="20"/>
              <w:jc w:val="center"/>
              <w:rPr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6F88F861" w14:textId="77777777" w:rsidR="00453362" w:rsidRPr="00FF1020" w:rsidRDefault="00453362" w:rsidP="00D5523D">
            <w:pPr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gridSpan w:val="2"/>
          </w:tcPr>
          <w:p w14:paraId="74AD9500" w14:textId="77777777" w:rsidR="00453362" w:rsidRPr="00FF1020" w:rsidRDefault="00453362" w:rsidP="00D5523D">
            <w:pPr>
              <w:spacing w:before="20" w:after="20"/>
              <w:jc w:val="center"/>
              <w:rPr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23A1344" w14:textId="77777777" w:rsidR="00453362" w:rsidRPr="00FF1020" w:rsidRDefault="00453362" w:rsidP="00D5523D">
            <w:pPr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901F1B1" w14:textId="77777777" w:rsidR="00453362" w:rsidRPr="00FF1020" w:rsidRDefault="00453362" w:rsidP="0079745E">
            <w:pPr>
              <w:spacing w:before="20" w:after="20"/>
              <w:jc w:val="right"/>
              <w:rPr>
                <w:b/>
                <w:szCs w:val="20"/>
              </w:rPr>
            </w:pPr>
            <w:r w:rsidRPr="00FF1020">
              <w:rPr>
                <w:b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AA1F2E8" w14:textId="77777777" w:rsidR="00453362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53362" w:rsidRPr="00FF1020">
              <w:rPr>
                <w:szCs w:val="20"/>
              </w:rPr>
              <w:t xml:space="preserve"> DA </w:t>
            </w:r>
            <w:sdt>
              <w:sdtPr>
                <w:rPr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53362" w:rsidRPr="00FF1020">
              <w:rPr>
                <w:szCs w:val="20"/>
              </w:rPr>
              <w:t xml:space="preserve"> NE</w:t>
            </w:r>
          </w:p>
        </w:tc>
      </w:tr>
      <w:tr w:rsidR="00453362" w:rsidRPr="00FF1020" w14:paraId="0F423CA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152BB8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F3B1CEB" w14:textId="77777777" w:rsidR="00453362" w:rsidRPr="00FF1020" w:rsidRDefault="00081994" w:rsidP="001C4C8A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Arh101</w:t>
            </w:r>
            <w:r w:rsidR="00FD686C">
              <w:rPr>
                <w:szCs w:val="20"/>
              </w:rPr>
              <w:t xml:space="preserve">, petkom, </w:t>
            </w:r>
            <w:r w:rsidR="001C4C8A">
              <w:rPr>
                <w:szCs w:val="20"/>
              </w:rPr>
              <w:t>od 14-17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9D12C80" w14:textId="77777777" w:rsidR="00453362" w:rsidRPr="00FF1020" w:rsidRDefault="00453362" w:rsidP="00FF1020">
            <w:pPr>
              <w:spacing w:before="20" w:after="20"/>
              <w:jc w:val="center"/>
              <w:rPr>
                <w:b/>
              </w:rPr>
            </w:pPr>
            <w:r w:rsidRPr="00FF1020">
              <w:rPr>
                <w:b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8A50F22" w14:textId="77777777" w:rsidR="00453362" w:rsidRPr="00FF1020" w:rsidRDefault="00FD686C" w:rsidP="0079745E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hrvatski</w:t>
            </w:r>
          </w:p>
        </w:tc>
      </w:tr>
      <w:tr w:rsidR="00453362" w:rsidRPr="00FF1020" w14:paraId="78563AF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B1DC06F" w14:textId="77777777" w:rsidR="00453362" w:rsidRPr="00FF1020" w:rsidRDefault="00453362" w:rsidP="00FF1020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F6C668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CA4FFD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0F88014" w14:textId="77777777" w:rsidR="00453362" w:rsidRPr="00FF1020" w:rsidRDefault="00453362" w:rsidP="005F6E0B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2CE51F9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1A679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8FC2A0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6981369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CFAB867" w14:textId="77777777" w:rsidR="00453362" w:rsidRPr="00FF1020" w:rsidRDefault="00453362" w:rsidP="0079745E">
            <w:pPr>
              <w:spacing w:before="20" w:after="20"/>
              <w:rPr>
                <w:szCs w:val="18"/>
              </w:rPr>
            </w:pPr>
          </w:p>
        </w:tc>
      </w:tr>
      <w:tr w:rsidR="00453362" w:rsidRPr="00FF1020" w14:paraId="7509BBA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D18EDCB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0674688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Željko Miletić</w:t>
            </w:r>
          </w:p>
        </w:tc>
      </w:tr>
      <w:tr w:rsidR="00453362" w:rsidRPr="00FF1020" w14:paraId="69AE33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71C7BF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08B371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D8D3B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E3EC8E8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Petak, 10-12</w:t>
            </w:r>
          </w:p>
        </w:tc>
      </w:tr>
      <w:tr w:rsidR="00453362" w:rsidRPr="00FF1020" w14:paraId="11172F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F36565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685ABA8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Željko Miletić</w:t>
            </w:r>
          </w:p>
        </w:tc>
      </w:tr>
      <w:tr w:rsidR="00453362" w:rsidRPr="00FF1020" w14:paraId="2E80B6A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7EDD64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000A30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B93AA8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B00F340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Petak, 10-12</w:t>
            </w:r>
          </w:p>
        </w:tc>
      </w:tr>
      <w:tr w:rsidR="00453362" w:rsidRPr="00FF1020" w14:paraId="5ECDD83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EC7E7D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DBD360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490CBC1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EBDE8B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C52EF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FA6D9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EF0DAF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4AD99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898F5C9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F19C64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052873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9891FC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25312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DDAD53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F32A67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3631530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BD85B3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szCs w:val="18"/>
              </w:rPr>
            </w:pPr>
          </w:p>
        </w:tc>
      </w:tr>
      <w:tr w:rsidR="00453362" w:rsidRPr="00FF1020" w14:paraId="0B6631B1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4C31E8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F234163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903DF8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2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362" w:rsidRPr="00FF1020"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6A6261C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F110A43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BC3A38D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terenska nastava</w:t>
            </w:r>
          </w:p>
        </w:tc>
      </w:tr>
      <w:tr w:rsidR="00453362" w:rsidRPr="00FF1020" w14:paraId="7376D81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A8D0221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E9799FC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8FB24E6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5C368EB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49CBF49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C632B0A" w14:textId="77777777" w:rsidR="00453362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ostalo</w:t>
            </w:r>
          </w:p>
        </w:tc>
      </w:tr>
      <w:tr w:rsidR="00310F9A" w:rsidRPr="00FF1020" w14:paraId="6939773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14D4380" w14:textId="77777777" w:rsidR="00310F9A" w:rsidRPr="00FF1020" w:rsidRDefault="00310F9A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C234842" w14:textId="77777777" w:rsidR="00FD686C" w:rsidRDefault="00A97051" w:rsidP="00A97051">
            <w:pPr>
              <w:tabs>
                <w:tab w:val="left" w:pos="1218"/>
              </w:tabs>
              <w:spacing w:before="20" w:after="20"/>
            </w:pPr>
            <w:r w:rsidRPr="00A97051">
              <w:t xml:space="preserve">1. </w:t>
            </w:r>
            <w:r w:rsidRPr="009D336A">
              <w:t>Usporediti različita društvena i vladarska ustrojstva</w:t>
            </w:r>
            <w:r>
              <w:t xml:space="preserve"> Rima</w:t>
            </w:r>
            <w:r w:rsidR="00EE31E7">
              <w:t>.</w:t>
            </w:r>
          </w:p>
          <w:p w14:paraId="7098061B" w14:textId="77777777" w:rsidR="00A97051" w:rsidRDefault="00A97051" w:rsidP="00A97051">
            <w:pPr>
              <w:suppressAutoHyphens/>
            </w:pPr>
            <w:r>
              <w:t xml:space="preserve">2. </w:t>
            </w:r>
            <w:r w:rsidRPr="009D336A">
              <w:t>Odrediti kojem vremenskom periodu odgovaraju pojedine institucije rimskog svijeta</w:t>
            </w:r>
            <w:r w:rsidR="00EE31E7">
              <w:t>.</w:t>
            </w:r>
          </w:p>
          <w:p w14:paraId="132F3D03" w14:textId="77777777" w:rsidR="00A97051" w:rsidRPr="009D336A" w:rsidRDefault="00A97051" w:rsidP="00A97051">
            <w:pPr>
              <w:suppressAutoHyphens/>
            </w:pPr>
            <w:r>
              <w:t xml:space="preserve">3. </w:t>
            </w:r>
            <w:r w:rsidRPr="009D336A">
              <w:t>Definirati i opisati pojmove vezane uz upravu, sudstvo i financije</w:t>
            </w:r>
            <w:r w:rsidR="00EE31E7">
              <w:t>.</w:t>
            </w:r>
          </w:p>
          <w:p w14:paraId="164451AB" w14:textId="77777777" w:rsidR="00A97051" w:rsidRDefault="00A97051" w:rsidP="00A97051">
            <w:pPr>
              <w:suppressAutoHyphens/>
            </w:pPr>
            <w:r>
              <w:t>4.</w:t>
            </w:r>
            <w:r w:rsidRPr="009D336A">
              <w:t xml:space="preserve"> Usporediti novčane sustave i uočiti temeljne monetarne i financijske promjene u doba </w:t>
            </w:r>
            <w:r w:rsidR="00726AD3">
              <w:t xml:space="preserve">republike, </w:t>
            </w:r>
            <w:proofErr w:type="spellStart"/>
            <w:r w:rsidR="00726AD3">
              <w:t>principata</w:t>
            </w:r>
            <w:proofErr w:type="spellEnd"/>
            <w:r w:rsidR="00726AD3">
              <w:t xml:space="preserve"> i </w:t>
            </w:r>
            <w:proofErr w:type="spellStart"/>
            <w:r w:rsidR="00726AD3">
              <w:t>dominat</w:t>
            </w:r>
            <w:proofErr w:type="spellEnd"/>
            <w:r w:rsidR="00726AD3">
              <w:t>.</w:t>
            </w:r>
          </w:p>
          <w:p w14:paraId="55FDBBBA" w14:textId="77777777" w:rsidR="00A97051" w:rsidRDefault="00A97051" w:rsidP="00A97051">
            <w:pPr>
              <w:suppressAutoHyphens/>
            </w:pPr>
            <w:r>
              <w:t xml:space="preserve">5. </w:t>
            </w:r>
            <w:r w:rsidRPr="009D336A">
              <w:t>Opisati temeljne reforme rimske vojske</w:t>
            </w:r>
            <w:r w:rsidR="00EE31E7">
              <w:t>.</w:t>
            </w:r>
          </w:p>
          <w:p w14:paraId="0217A7AA" w14:textId="77777777" w:rsidR="00A97051" w:rsidRDefault="00A97051" w:rsidP="00A97051">
            <w:pPr>
              <w:suppressAutoHyphens/>
            </w:pPr>
            <w:r>
              <w:t xml:space="preserve">6. </w:t>
            </w:r>
            <w:r w:rsidRPr="009D336A">
              <w:t xml:space="preserve">Analizirati zapovjednu strukturu i </w:t>
            </w:r>
            <w:r w:rsidR="00EE31E7">
              <w:t xml:space="preserve">usporediti </w:t>
            </w:r>
            <w:r w:rsidRPr="009D336A">
              <w:t xml:space="preserve">hijerarhija u postrojbama </w:t>
            </w:r>
            <w:r w:rsidR="00EE31E7">
              <w:t>i društvu.</w:t>
            </w:r>
          </w:p>
          <w:p w14:paraId="6087D71C" w14:textId="77777777" w:rsidR="00EE31E7" w:rsidRDefault="00EE31E7" w:rsidP="00EE31E7">
            <w:pPr>
              <w:suppressAutoHyphens/>
            </w:pPr>
            <w:r>
              <w:t xml:space="preserve">7. </w:t>
            </w:r>
            <w:r w:rsidRPr="009D336A">
              <w:t>Opisati oružje i opremu rimskog vojnika</w:t>
            </w:r>
            <w:r>
              <w:t>.</w:t>
            </w:r>
          </w:p>
          <w:p w14:paraId="56542969" w14:textId="77777777" w:rsidR="00EE31E7" w:rsidRDefault="00EE31E7" w:rsidP="00EE31E7">
            <w:pPr>
              <w:suppressAutoHyphens/>
            </w:pPr>
            <w:r>
              <w:t xml:space="preserve">8. </w:t>
            </w:r>
            <w:r w:rsidRPr="009D336A">
              <w:t>Interpretirati silnice koje su dovele do</w:t>
            </w:r>
            <w:r>
              <w:t>.</w:t>
            </w:r>
            <w:r w:rsidRPr="009D336A">
              <w:t xml:space="preserve"> transformacije rimskog društva u kasnoj antici</w:t>
            </w:r>
            <w:r>
              <w:t>.</w:t>
            </w:r>
          </w:p>
          <w:p w14:paraId="75C582A0" w14:textId="77777777" w:rsidR="00EE31E7" w:rsidRDefault="00EE31E7" w:rsidP="00EE31E7">
            <w:pPr>
              <w:suppressAutoHyphens/>
            </w:pPr>
            <w:r>
              <w:t xml:space="preserve">9. </w:t>
            </w:r>
            <w:r w:rsidRPr="009D336A">
              <w:t>Opisati promjene u razvoju rimske</w:t>
            </w:r>
            <w:r>
              <w:t xml:space="preserve"> </w:t>
            </w:r>
            <w:r w:rsidRPr="009D336A">
              <w:t>religije</w:t>
            </w:r>
            <w:r>
              <w:t>.</w:t>
            </w:r>
          </w:p>
          <w:p w14:paraId="35311A07" w14:textId="77777777" w:rsidR="00EE31E7" w:rsidRPr="009D336A" w:rsidRDefault="00EE31E7" w:rsidP="00EE31E7">
            <w:pPr>
              <w:suppressAutoHyphens/>
            </w:pPr>
            <w:r>
              <w:lastRenderedPageBreak/>
              <w:t>10.Analizirati izgled rimskog kalendara.</w:t>
            </w:r>
          </w:p>
          <w:p w14:paraId="37C05995" w14:textId="77777777" w:rsidR="00A97051" w:rsidRPr="00A97051" w:rsidRDefault="00A97051" w:rsidP="00A97051">
            <w:pPr>
              <w:tabs>
                <w:tab w:val="left" w:pos="1218"/>
              </w:tabs>
              <w:spacing w:before="20" w:after="20"/>
            </w:pPr>
          </w:p>
        </w:tc>
      </w:tr>
      <w:tr w:rsidR="00310F9A" w:rsidRPr="00FF1020" w14:paraId="5F395A9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C9EEA11" w14:textId="77777777" w:rsidR="00310F9A" w:rsidRPr="00FF1020" w:rsidRDefault="00310F9A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78688C2" w14:textId="77777777" w:rsidR="00310F9A" w:rsidRPr="00FF1020" w:rsidRDefault="00FD686C" w:rsidP="00FD686C">
            <w:pPr>
              <w:tabs>
                <w:tab w:val="left" w:pos="1218"/>
              </w:tabs>
              <w:spacing w:before="20" w:after="20"/>
              <w:rPr>
                <w:color w:val="FF0000"/>
              </w:rPr>
            </w:pPr>
            <w:r w:rsidRPr="00FD686C">
              <w:t xml:space="preserve"> </w:t>
            </w:r>
          </w:p>
        </w:tc>
      </w:tr>
      <w:tr w:rsidR="00FC2198" w:rsidRPr="00FF1020" w14:paraId="19A14C4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55EE3C" w14:textId="77777777" w:rsidR="00FC2198" w:rsidRPr="00FF1020" w:rsidRDefault="00FC2198" w:rsidP="0079745E">
            <w:pPr>
              <w:spacing w:before="20" w:after="20"/>
              <w:rPr>
                <w:szCs w:val="20"/>
              </w:rPr>
            </w:pPr>
          </w:p>
        </w:tc>
      </w:tr>
      <w:tr w:rsidR="00FC2198" w:rsidRPr="00FF1020" w14:paraId="6086B02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BF87A37" w14:textId="77777777" w:rsidR="00FC2198" w:rsidRPr="00FF1020" w:rsidRDefault="00FC2198" w:rsidP="00C02454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67566D2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0F67422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9D22121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D4DD498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DE18A62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1E428AB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A20F794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DC6A4B5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58A99995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</w:t>
            </w:r>
            <w:r w:rsidR="00FC2198" w:rsidRPr="00FF1020">
              <w:rPr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D75BD32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8E81FBA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C15E016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</w:t>
            </w:r>
            <w:r w:rsidR="00891C60" w:rsidRPr="00FF1020">
              <w:rPr>
                <w:sz w:val="16"/>
                <w:szCs w:val="16"/>
              </w:rPr>
              <w:t>seminar</w:t>
            </w:r>
          </w:p>
        </w:tc>
      </w:tr>
      <w:tr w:rsidR="00FC2198" w:rsidRPr="00FF1020" w14:paraId="3795947E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9CFE5A4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7A9C502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6F79E18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478B351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58417E6" w14:textId="77777777" w:rsidR="00FC2198" w:rsidRPr="00FF1020" w:rsidRDefault="005A7806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11EF90E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06E799F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93C860E" w14:textId="77777777" w:rsidR="00FC2198" w:rsidRPr="00FF1020" w:rsidRDefault="00435437" w:rsidP="000F123D">
            <w:pPr>
              <w:tabs>
                <w:tab w:val="left" w:pos="1218"/>
              </w:tabs>
              <w:spacing w:before="20" w:after="20"/>
              <w:rPr>
                <w:i/>
              </w:rPr>
            </w:pPr>
            <w:r w:rsidRPr="00C03CC4">
              <w:rPr>
                <w:sz w:val="20"/>
                <w:szCs w:val="20"/>
              </w:rPr>
              <w:t xml:space="preserve">1. Uredno pohađanje nastave. </w:t>
            </w:r>
          </w:p>
        </w:tc>
      </w:tr>
      <w:tr w:rsidR="00FC2198" w:rsidRPr="00FF1020" w14:paraId="746BC1A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E965CF3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9789780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258FB0F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4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AA4194F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5FABB4CC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4F0AE88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0647E49" w14:textId="77777777" w:rsidR="00435437" w:rsidRPr="00FF1020" w:rsidRDefault="00435437" w:rsidP="0079745E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2471" w:type="dxa"/>
            <w:gridSpan w:val="12"/>
            <w:vAlign w:val="center"/>
          </w:tcPr>
          <w:p w14:paraId="2A4D790F" w14:textId="208329B2" w:rsidR="000F123D" w:rsidRDefault="00103349" w:rsidP="000F123D">
            <w:pPr>
              <w:tabs>
                <w:tab w:val="left" w:pos="1218"/>
              </w:tabs>
              <w:spacing w:before="20" w:after="20"/>
            </w:pPr>
            <w:r>
              <w:t>6</w:t>
            </w:r>
            <w:r w:rsidR="005D7C42">
              <w:t>. 6. 202</w:t>
            </w:r>
            <w:r>
              <w:t>5</w:t>
            </w:r>
            <w:r w:rsidR="000F123D">
              <w:t>.</w:t>
            </w:r>
          </w:p>
          <w:p w14:paraId="7929F350" w14:textId="52B5B8E6" w:rsidR="00FC2198" w:rsidRPr="00FF1020" w:rsidRDefault="005D7C42" w:rsidP="000F123D">
            <w:pPr>
              <w:tabs>
                <w:tab w:val="left" w:pos="1218"/>
              </w:tabs>
              <w:spacing w:before="20" w:after="20"/>
            </w:pPr>
            <w:r>
              <w:t>2</w:t>
            </w:r>
            <w:r w:rsidR="00103349">
              <w:t>0</w:t>
            </w:r>
            <w:r>
              <w:t xml:space="preserve">. </w:t>
            </w:r>
            <w:r w:rsidR="00103349">
              <w:t>6</w:t>
            </w:r>
            <w:r>
              <w:t>. 202</w:t>
            </w:r>
            <w:r w:rsidR="00103349">
              <w:t>5</w:t>
            </w:r>
            <w:r w:rsidR="000F123D"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59683B7F" w14:textId="326E7F23" w:rsidR="00FC2198" w:rsidRDefault="00103349" w:rsidP="0079745E">
            <w:pPr>
              <w:tabs>
                <w:tab w:val="left" w:pos="1218"/>
              </w:tabs>
              <w:spacing w:before="20" w:after="20"/>
            </w:pPr>
            <w:r>
              <w:t>5</w:t>
            </w:r>
            <w:r w:rsidR="005D7C42">
              <w:t xml:space="preserve">. </w:t>
            </w:r>
            <w:r>
              <w:t>9</w:t>
            </w:r>
            <w:r w:rsidR="005D7C42">
              <w:t>. 202</w:t>
            </w:r>
            <w:r>
              <w:t>5</w:t>
            </w:r>
            <w:r w:rsidR="00435437">
              <w:t>.</w:t>
            </w:r>
          </w:p>
          <w:p w14:paraId="0EBF65A9" w14:textId="359C4338" w:rsidR="000F123D" w:rsidRPr="00FF1020" w:rsidRDefault="00103349" w:rsidP="0079745E">
            <w:pPr>
              <w:tabs>
                <w:tab w:val="left" w:pos="1218"/>
              </w:tabs>
              <w:spacing w:before="20" w:after="20"/>
            </w:pPr>
            <w:r>
              <w:t>19</w:t>
            </w:r>
            <w:r w:rsidR="005D7C42">
              <w:t>.9. 202</w:t>
            </w:r>
            <w:r>
              <w:t>5</w:t>
            </w:r>
            <w:r w:rsidR="000F123D">
              <w:t>.</w:t>
            </w:r>
          </w:p>
        </w:tc>
      </w:tr>
      <w:tr w:rsidR="00FC2198" w:rsidRPr="00FF1020" w14:paraId="3CB8F7F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943DCFC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B819873" w14:textId="77777777" w:rsidR="00EE31E7" w:rsidRPr="00EE31E7" w:rsidRDefault="00EE31E7" w:rsidP="00303CDA">
            <w:pPr>
              <w:jc w:val="both"/>
              <w:rPr>
                <w:szCs w:val="18"/>
              </w:rPr>
            </w:pPr>
            <w:r w:rsidRPr="00EE31E7">
              <w:rPr>
                <w:szCs w:val="18"/>
              </w:rPr>
              <w:t>Predmet je temeljan. Sluša se tijekom jednog semestra, tjedno su 3 sata predavanja.</w:t>
            </w:r>
          </w:p>
          <w:p w14:paraId="55C232A4" w14:textId="77777777" w:rsidR="00435437" w:rsidRPr="00EE31E7" w:rsidRDefault="00435437" w:rsidP="00435437">
            <w:pPr>
              <w:snapToGrid w:val="0"/>
              <w:jc w:val="both"/>
              <w:rPr>
                <w:szCs w:val="18"/>
              </w:rPr>
            </w:pPr>
            <w:r w:rsidRPr="00EE31E7">
              <w:rPr>
                <w:szCs w:val="18"/>
              </w:rPr>
              <w:t xml:space="preserve">Nastava će se izvoditi putem preglednih izlaganja (opći historijski okvir), </w:t>
            </w:r>
            <w:r w:rsidR="001C4C8A" w:rsidRPr="00EE31E7">
              <w:rPr>
                <w:szCs w:val="18"/>
              </w:rPr>
              <w:t>u manjoj mjeri</w:t>
            </w:r>
            <w:r w:rsidRPr="00EE31E7">
              <w:rPr>
                <w:szCs w:val="18"/>
              </w:rPr>
              <w:t xml:space="preserve"> egzemplarno i problemski, da bi se stekao uvid u znanstveno-istraživačke postupke kojima se došlo do određenih spoznaja. U interakciji sa studentima prakticirat će se rad na literarnim i </w:t>
            </w:r>
            <w:proofErr w:type="spellStart"/>
            <w:r w:rsidRPr="00EE31E7">
              <w:rPr>
                <w:szCs w:val="18"/>
              </w:rPr>
              <w:t>epigrafičkim</w:t>
            </w:r>
            <w:proofErr w:type="spellEnd"/>
            <w:r w:rsidRPr="00EE31E7">
              <w:rPr>
                <w:szCs w:val="18"/>
              </w:rPr>
              <w:t xml:space="preserve"> izvorima i arheološkoj građi. Studenti iz ovog kolegija mogu izabrati temu za završnu radnju u 6. semestru. Konsultacije se odnose na metodološku pripremu za pisanje seminarske radnje i na pripremu za polaganje ispita. Predavanja i seminari odvijaju se u učionici, prostorijama arheološkog praktikuma, u muzejskim ustanovama i na terenu (na arheološkim lokalitetima). Od didaktičkih pomagala koristi se prvenstveno kompjuter i LCD projektor, radi prikazivanja prezentacija, video projekcija</w:t>
            </w:r>
            <w:r w:rsidR="00D37050" w:rsidRPr="00EE31E7">
              <w:rPr>
                <w:szCs w:val="18"/>
              </w:rPr>
              <w:t xml:space="preserve">, </w:t>
            </w:r>
            <w:r w:rsidRPr="00EE31E7">
              <w:rPr>
                <w:szCs w:val="18"/>
              </w:rPr>
              <w:t>mrežn</w:t>
            </w:r>
            <w:r w:rsidR="00D37050" w:rsidRPr="00EE31E7">
              <w:rPr>
                <w:szCs w:val="18"/>
              </w:rPr>
              <w:t>e</w:t>
            </w:r>
            <w:r w:rsidRPr="00EE31E7">
              <w:rPr>
                <w:szCs w:val="18"/>
              </w:rPr>
              <w:t xml:space="preserve"> stranic</w:t>
            </w:r>
            <w:r w:rsidR="00D37050" w:rsidRPr="00EE31E7">
              <w:rPr>
                <w:szCs w:val="18"/>
              </w:rPr>
              <w:t xml:space="preserve">e i platforme Merlin i </w:t>
            </w:r>
            <w:proofErr w:type="spellStart"/>
            <w:r w:rsidR="00D37050" w:rsidRPr="00EE31E7">
              <w:rPr>
                <w:szCs w:val="18"/>
              </w:rPr>
              <w:t>MsTeams</w:t>
            </w:r>
            <w:proofErr w:type="spellEnd"/>
            <w:r w:rsidRPr="00EE31E7">
              <w:rPr>
                <w:szCs w:val="18"/>
              </w:rPr>
              <w:t>; literatura.</w:t>
            </w:r>
          </w:p>
          <w:p w14:paraId="161DA6A1" w14:textId="77777777" w:rsidR="00EE31E7" w:rsidRPr="00EE31E7" w:rsidRDefault="00EE31E7" w:rsidP="00EE31E7">
            <w:pPr>
              <w:jc w:val="both"/>
              <w:rPr>
                <w:szCs w:val="18"/>
              </w:rPr>
            </w:pPr>
          </w:p>
          <w:p w14:paraId="0A8E3B4B" w14:textId="77777777" w:rsidR="00EE31E7" w:rsidRPr="00EE31E7" w:rsidRDefault="00EE31E7" w:rsidP="00EE31E7">
            <w:pPr>
              <w:jc w:val="both"/>
              <w:rPr>
                <w:szCs w:val="18"/>
              </w:rPr>
            </w:pPr>
            <w:r w:rsidRPr="00EE31E7">
              <w:rPr>
                <w:szCs w:val="18"/>
              </w:rPr>
              <w:t xml:space="preserve">Program obuhvaća glavne socijalne procese, razvoj društvenog uređenja i vladarskih ustrojstava (kraljevstvo, republika, </w:t>
            </w:r>
            <w:proofErr w:type="spellStart"/>
            <w:r w:rsidRPr="00EE31E7">
              <w:rPr>
                <w:szCs w:val="18"/>
              </w:rPr>
              <w:t>principat</w:t>
            </w:r>
            <w:proofErr w:type="spellEnd"/>
            <w:r w:rsidRPr="00EE31E7">
              <w:rPr>
                <w:szCs w:val="18"/>
              </w:rPr>
              <w:t xml:space="preserve"> i </w:t>
            </w:r>
            <w:proofErr w:type="spellStart"/>
            <w:r w:rsidRPr="00EE31E7">
              <w:rPr>
                <w:szCs w:val="18"/>
              </w:rPr>
              <w:t>dominat</w:t>
            </w:r>
            <w:proofErr w:type="spellEnd"/>
            <w:r w:rsidRPr="00EE31E7">
              <w:rPr>
                <w:szCs w:val="18"/>
              </w:rPr>
              <w:t xml:space="preserve">). Pojašnjavaju se pojmovi poput: </w:t>
            </w:r>
            <w:proofErr w:type="spellStart"/>
            <w:r w:rsidRPr="00EE31E7">
              <w:rPr>
                <w:i/>
                <w:szCs w:val="18"/>
              </w:rPr>
              <w:t>regnum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res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publica</w:t>
            </w:r>
            <w:proofErr w:type="spellEnd"/>
            <w:r w:rsidRPr="00EE31E7">
              <w:rPr>
                <w:i/>
                <w:szCs w:val="18"/>
              </w:rPr>
              <w:t xml:space="preserve">, ager </w:t>
            </w:r>
            <w:proofErr w:type="spellStart"/>
            <w:r w:rsidRPr="00EE31E7">
              <w:rPr>
                <w:i/>
                <w:szCs w:val="18"/>
              </w:rPr>
              <w:t>Romanus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coloniae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municipii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socii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civitates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foederate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Italia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provinciae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optimates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populares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principatus</w:t>
            </w:r>
            <w:proofErr w:type="spellEnd"/>
            <w:r w:rsidRPr="00EE31E7">
              <w:rPr>
                <w:i/>
                <w:szCs w:val="18"/>
              </w:rPr>
              <w:t xml:space="preserve">, pax Romana, </w:t>
            </w:r>
            <w:proofErr w:type="spellStart"/>
            <w:r w:rsidRPr="00EE31E7">
              <w:rPr>
                <w:i/>
                <w:szCs w:val="18"/>
              </w:rPr>
              <w:t>exercitus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bellum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damnatio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memoriae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religio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dominatus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consilium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principis</w:t>
            </w:r>
            <w:proofErr w:type="spellEnd"/>
            <w:r w:rsidRPr="00EE31E7">
              <w:rPr>
                <w:szCs w:val="18"/>
              </w:rPr>
              <w:t xml:space="preserve">. Rimsko društvo je raslojeno na slobodne i neslobodne, na niz hijerarhijski postavljenih redova, na brojne interesne grupacije, religijska i strukovna udruženja. Objasnit će se pojmovi poput: </w:t>
            </w:r>
            <w:proofErr w:type="spellStart"/>
            <w:r w:rsidRPr="00EE31E7">
              <w:rPr>
                <w:i/>
                <w:szCs w:val="18"/>
              </w:rPr>
              <w:t>civis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civitas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peregrinus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libertus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manumissio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servus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ordo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senatorius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ordo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equester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ingenuus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praetexta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feminae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mancipium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patricii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plebeii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tribus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nobilitas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ius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imaginum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ordo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publicanorum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collegium</w:t>
            </w:r>
            <w:proofErr w:type="spellEnd"/>
            <w:r w:rsidRPr="00EE31E7">
              <w:rPr>
                <w:szCs w:val="18"/>
              </w:rPr>
              <w:t xml:space="preserve">. Osobito je važan </w:t>
            </w:r>
            <w:proofErr w:type="spellStart"/>
            <w:r w:rsidRPr="00EE31E7">
              <w:rPr>
                <w:i/>
                <w:szCs w:val="18"/>
              </w:rPr>
              <w:t>cursus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honorum</w:t>
            </w:r>
            <w:proofErr w:type="spellEnd"/>
            <w:r w:rsidRPr="00EE31E7">
              <w:rPr>
                <w:szCs w:val="18"/>
              </w:rPr>
              <w:t xml:space="preserve"> senatora i vitezova zbog moći, ovlasti i utjecaja kojima su ti redovi gradili povijest Rima.</w:t>
            </w:r>
          </w:p>
          <w:p w14:paraId="0D8566B2" w14:textId="77777777" w:rsidR="00EE31E7" w:rsidRPr="00EE31E7" w:rsidRDefault="00EE31E7" w:rsidP="00EE31E7">
            <w:pPr>
              <w:jc w:val="both"/>
              <w:rPr>
                <w:szCs w:val="18"/>
              </w:rPr>
            </w:pPr>
            <w:r w:rsidRPr="00EE31E7">
              <w:rPr>
                <w:szCs w:val="18"/>
              </w:rPr>
              <w:t xml:space="preserve">Pregledno se izlažu osnovni pojmovi rimskog prava; razvoj rimskog ustava od običajnog prava, preko Zakonika dvanaest tabli do Justinijanove kodifikacije; zakonodavno djelovanje narodnih skupština, pretora i drugih magistrata, senata i careva; Opisuju se tijela središnje, provincijalne i municipalne vlasti i uprave, njihov postanak, izbor, ovlasti i djelokrug; sudstvo i financije (Termini su: </w:t>
            </w:r>
            <w:proofErr w:type="spellStart"/>
            <w:r w:rsidRPr="00EE31E7">
              <w:rPr>
                <w:i/>
                <w:szCs w:val="18"/>
              </w:rPr>
              <w:t>lex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edictum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senatus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consultum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decretum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mandatum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praescriptum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candidatus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suffectus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prorogatio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fasces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imperium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potestas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comitiae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contiones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magistratus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dictator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consul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interrex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praetor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magister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equitum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censor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aedilis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tribunus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plebis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quaestor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vigintivir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tribunus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militum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rex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princeps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dominus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praefecti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procuratores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curatores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servi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legatus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proconsul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IIvir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praepositus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ordo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decurionum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conventus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iuridicus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consulares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iuridici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aerarium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fiscus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census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tributum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stipendium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vectigal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portorium</w:t>
            </w:r>
            <w:proofErr w:type="spellEnd"/>
            <w:r w:rsidRPr="00EE31E7">
              <w:rPr>
                <w:szCs w:val="18"/>
              </w:rPr>
              <w:t>).</w:t>
            </w:r>
          </w:p>
          <w:p w14:paraId="51C161DA" w14:textId="77777777" w:rsidR="00EE31E7" w:rsidRPr="00EE31E7" w:rsidRDefault="00EE31E7" w:rsidP="00EE31E7">
            <w:pPr>
              <w:jc w:val="both"/>
              <w:rPr>
                <w:szCs w:val="18"/>
              </w:rPr>
            </w:pPr>
            <w:r w:rsidRPr="00EE31E7">
              <w:rPr>
                <w:szCs w:val="18"/>
              </w:rPr>
              <w:t xml:space="preserve">Sažeto se opisuje početak uporabe novca kod Rimljana; težinske mjere i novčane vrijednosti. Kovanje u republikanskom periodu; uloga Senata i monetarnih </w:t>
            </w:r>
            <w:proofErr w:type="spellStart"/>
            <w:r w:rsidRPr="00EE31E7">
              <w:rPr>
                <w:szCs w:val="18"/>
              </w:rPr>
              <w:t>kvatuorvira</w:t>
            </w:r>
            <w:proofErr w:type="spellEnd"/>
            <w:r w:rsidRPr="00EE31E7">
              <w:rPr>
                <w:szCs w:val="18"/>
              </w:rPr>
              <w:t xml:space="preserve">; </w:t>
            </w:r>
            <w:r w:rsidRPr="00EE31E7">
              <w:rPr>
                <w:i/>
                <w:szCs w:val="18"/>
              </w:rPr>
              <w:t xml:space="preserve">as, </w:t>
            </w:r>
            <w:proofErr w:type="spellStart"/>
            <w:r w:rsidRPr="00EE31E7">
              <w:rPr>
                <w:i/>
                <w:szCs w:val="18"/>
              </w:rPr>
              <w:t>sestertius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denarius</w:t>
            </w:r>
            <w:proofErr w:type="spellEnd"/>
            <w:r w:rsidRPr="00EE31E7">
              <w:rPr>
                <w:i/>
                <w:szCs w:val="18"/>
              </w:rPr>
              <w:t xml:space="preserve">, </w:t>
            </w:r>
            <w:proofErr w:type="spellStart"/>
            <w:r w:rsidRPr="00EE31E7">
              <w:rPr>
                <w:i/>
                <w:szCs w:val="18"/>
              </w:rPr>
              <w:t>aureus</w:t>
            </w:r>
            <w:proofErr w:type="spellEnd"/>
            <w:r w:rsidRPr="00EE31E7">
              <w:rPr>
                <w:szCs w:val="18"/>
              </w:rPr>
              <w:t xml:space="preserve">. Emitiranje pod carskom ingerencijom. Disperzija kovnica izvan Rome; inflacija cijena i devalvacija; uvođenje </w:t>
            </w:r>
            <w:proofErr w:type="spellStart"/>
            <w:r w:rsidRPr="00EE31E7">
              <w:rPr>
                <w:szCs w:val="18"/>
              </w:rPr>
              <w:t>antoninijana</w:t>
            </w:r>
            <w:proofErr w:type="spellEnd"/>
            <w:r w:rsidRPr="00EE31E7">
              <w:rPr>
                <w:szCs w:val="18"/>
              </w:rPr>
              <w:t xml:space="preserve">. Dioklecijanove novčano-financijske reforme (novi monetarni </w:t>
            </w:r>
            <w:r w:rsidRPr="00EE31E7">
              <w:rPr>
                <w:szCs w:val="18"/>
              </w:rPr>
              <w:lastRenderedPageBreak/>
              <w:t xml:space="preserve">standardi, </w:t>
            </w:r>
            <w:proofErr w:type="spellStart"/>
            <w:r w:rsidRPr="00EE31E7">
              <w:rPr>
                <w:szCs w:val="18"/>
              </w:rPr>
              <w:t>maksimacija</w:t>
            </w:r>
            <w:proofErr w:type="spellEnd"/>
            <w:r w:rsidRPr="00EE31E7">
              <w:rPr>
                <w:szCs w:val="18"/>
              </w:rPr>
              <w:t xml:space="preserve"> cijena); «barbarizacija kasnoantičkog novca». </w:t>
            </w:r>
          </w:p>
          <w:p w14:paraId="02D3C1F7" w14:textId="77777777" w:rsidR="00EE31E7" w:rsidRPr="00EE31E7" w:rsidRDefault="00EE31E7" w:rsidP="00EE31E7">
            <w:pPr>
              <w:jc w:val="both"/>
              <w:rPr>
                <w:szCs w:val="18"/>
              </w:rPr>
            </w:pPr>
            <w:r w:rsidRPr="00EE31E7">
              <w:rPr>
                <w:szCs w:val="18"/>
              </w:rPr>
              <w:t xml:space="preserve">Vojska u doba republike. Odnos </w:t>
            </w:r>
            <w:proofErr w:type="spellStart"/>
            <w:r w:rsidRPr="00EE31E7">
              <w:rPr>
                <w:szCs w:val="18"/>
              </w:rPr>
              <w:t>cenzitivnog</w:t>
            </w:r>
            <w:proofErr w:type="spellEnd"/>
            <w:r w:rsidRPr="00EE31E7">
              <w:rPr>
                <w:szCs w:val="18"/>
              </w:rPr>
              <w:t xml:space="preserve"> poretka i mjesta u postrojbi. Legije i savezničke </w:t>
            </w:r>
            <w:proofErr w:type="spellStart"/>
            <w:r w:rsidRPr="00EE31E7">
              <w:rPr>
                <w:szCs w:val="18"/>
              </w:rPr>
              <w:t>ale</w:t>
            </w:r>
            <w:proofErr w:type="spellEnd"/>
            <w:r w:rsidRPr="00EE31E7">
              <w:rPr>
                <w:szCs w:val="18"/>
              </w:rPr>
              <w:t xml:space="preserve">. Konzuli, legati, centurioni. Promjene od Gaja Marija do Augusta: uvođenje kohorte kao osnovne taktičke postrojbe umjesto </w:t>
            </w:r>
            <w:proofErr w:type="spellStart"/>
            <w:r w:rsidRPr="00EE31E7">
              <w:rPr>
                <w:szCs w:val="18"/>
              </w:rPr>
              <w:t>manipula</w:t>
            </w:r>
            <w:proofErr w:type="spellEnd"/>
            <w:r w:rsidRPr="00EE31E7">
              <w:rPr>
                <w:szCs w:val="18"/>
              </w:rPr>
              <w:t xml:space="preserve">, profesionalizacija, vojnička blagajna, stalnost postrojbi. Carski </w:t>
            </w:r>
            <w:proofErr w:type="spellStart"/>
            <w:r w:rsidRPr="00EE31E7">
              <w:rPr>
                <w:i/>
                <w:szCs w:val="18"/>
              </w:rPr>
              <w:t>exercitus</w:t>
            </w:r>
            <w:proofErr w:type="spellEnd"/>
            <w:r w:rsidRPr="00EE31E7">
              <w:rPr>
                <w:szCs w:val="18"/>
              </w:rPr>
              <w:t xml:space="preserve">. Legije, </w:t>
            </w:r>
            <w:proofErr w:type="spellStart"/>
            <w:r w:rsidRPr="00EE31E7">
              <w:rPr>
                <w:szCs w:val="18"/>
              </w:rPr>
              <w:t>augzilijarne</w:t>
            </w:r>
            <w:proofErr w:type="spellEnd"/>
            <w:r w:rsidRPr="00EE31E7">
              <w:rPr>
                <w:szCs w:val="18"/>
              </w:rPr>
              <w:t xml:space="preserve"> postrojbe, pretorske kohorte, </w:t>
            </w:r>
            <w:proofErr w:type="spellStart"/>
            <w:r w:rsidRPr="00EE31E7">
              <w:rPr>
                <w:szCs w:val="18"/>
              </w:rPr>
              <w:t>vigile</w:t>
            </w:r>
            <w:proofErr w:type="spellEnd"/>
            <w:r w:rsidRPr="00EE31E7">
              <w:rPr>
                <w:szCs w:val="18"/>
              </w:rPr>
              <w:t xml:space="preserve"> i urbane kohorte, flote; logori; dnevni vojnički život; oprema i naoružanje; opsjedanje; </w:t>
            </w:r>
            <w:r w:rsidRPr="00EE31E7">
              <w:rPr>
                <w:i/>
                <w:szCs w:val="18"/>
              </w:rPr>
              <w:t>limes</w:t>
            </w:r>
            <w:r w:rsidRPr="00EE31E7">
              <w:rPr>
                <w:szCs w:val="18"/>
              </w:rPr>
              <w:t>. Zapovjedna struktura; mogućnost napredovanja u više društvene slojeve; regionalno načelo služenja vojske; razdvajanje civilne i vojničke karijere; rast zapovjedne uloge vitezova. Kasnoantičke promjene: tvornice oružja i opreme, poljske vojske i granične postrojbe; nova zapovjedna struktura; barbarizacija.</w:t>
            </w:r>
          </w:p>
          <w:p w14:paraId="10C4C513" w14:textId="77777777" w:rsidR="00EE31E7" w:rsidRPr="00EE31E7" w:rsidRDefault="00EE31E7" w:rsidP="00EE31E7">
            <w:pPr>
              <w:jc w:val="both"/>
              <w:rPr>
                <w:szCs w:val="18"/>
              </w:rPr>
            </w:pPr>
            <w:r w:rsidRPr="00EE31E7">
              <w:rPr>
                <w:szCs w:val="18"/>
              </w:rPr>
              <w:t xml:space="preserve">Rimska religija. Politeizam, eklekticizam; grčki i etruščanski utjecaji; uloga Senata i </w:t>
            </w:r>
            <w:proofErr w:type="spellStart"/>
            <w:r w:rsidRPr="00EE31E7">
              <w:rPr>
                <w:szCs w:val="18"/>
              </w:rPr>
              <w:t>sibilinskih</w:t>
            </w:r>
            <w:proofErr w:type="spellEnd"/>
            <w:r w:rsidRPr="00EE31E7">
              <w:rPr>
                <w:szCs w:val="18"/>
              </w:rPr>
              <w:t xml:space="preserve"> </w:t>
            </w:r>
            <w:proofErr w:type="spellStart"/>
            <w:r w:rsidRPr="00EE31E7">
              <w:rPr>
                <w:szCs w:val="18"/>
              </w:rPr>
              <w:t>sacerdota</w:t>
            </w:r>
            <w:proofErr w:type="spellEnd"/>
            <w:r w:rsidRPr="00EE31E7">
              <w:rPr>
                <w:szCs w:val="18"/>
              </w:rPr>
              <w:t xml:space="preserve"> u uvođenju kultova. Svećenički kolegiji, kultna mjesta, obredi, </w:t>
            </w:r>
            <w:proofErr w:type="spellStart"/>
            <w:r w:rsidRPr="00EE31E7">
              <w:rPr>
                <w:szCs w:val="18"/>
              </w:rPr>
              <w:t>votivni</w:t>
            </w:r>
            <w:proofErr w:type="spellEnd"/>
            <w:r w:rsidRPr="00EE31E7">
              <w:rPr>
                <w:szCs w:val="18"/>
              </w:rPr>
              <w:t xml:space="preserve"> spomenici, kalendar. Rimska klasična religija (kult </w:t>
            </w:r>
            <w:proofErr w:type="spellStart"/>
            <w:r w:rsidRPr="00EE31E7">
              <w:rPr>
                <w:szCs w:val="18"/>
              </w:rPr>
              <w:t>Kapitolijske</w:t>
            </w:r>
            <w:proofErr w:type="spellEnd"/>
            <w:r w:rsidRPr="00EE31E7">
              <w:rPr>
                <w:szCs w:val="18"/>
              </w:rPr>
              <w:t xml:space="preserve"> trijade, </w:t>
            </w:r>
            <w:proofErr w:type="spellStart"/>
            <w:r w:rsidRPr="00EE31E7">
              <w:rPr>
                <w:i/>
                <w:szCs w:val="18"/>
              </w:rPr>
              <w:t>Dii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sanctores</w:t>
            </w:r>
            <w:proofErr w:type="spellEnd"/>
            <w:r w:rsidRPr="00EE31E7">
              <w:rPr>
                <w:i/>
                <w:szCs w:val="18"/>
              </w:rPr>
              <w:t xml:space="preserve"> </w:t>
            </w:r>
            <w:proofErr w:type="spellStart"/>
            <w:r w:rsidRPr="00EE31E7">
              <w:rPr>
                <w:i/>
                <w:szCs w:val="18"/>
              </w:rPr>
              <w:t>maiores</w:t>
            </w:r>
            <w:proofErr w:type="spellEnd"/>
            <w:r w:rsidRPr="00EE31E7">
              <w:rPr>
                <w:szCs w:val="18"/>
              </w:rPr>
              <w:t xml:space="preserve">, religijski elementi u </w:t>
            </w:r>
            <w:proofErr w:type="spellStart"/>
            <w:r w:rsidRPr="00EE31E7">
              <w:rPr>
                <w:szCs w:val="18"/>
              </w:rPr>
              <w:t>limitaciji</w:t>
            </w:r>
            <w:proofErr w:type="spellEnd"/>
            <w:r w:rsidRPr="00EE31E7">
              <w:rPr>
                <w:szCs w:val="18"/>
              </w:rPr>
              <w:t xml:space="preserve"> agera i podizanju </w:t>
            </w:r>
            <w:proofErr w:type="spellStart"/>
            <w:r w:rsidRPr="00EE31E7">
              <w:rPr>
                <w:szCs w:val="18"/>
              </w:rPr>
              <w:t>tropeja</w:t>
            </w:r>
            <w:proofErr w:type="spellEnd"/>
            <w:r w:rsidRPr="00EE31E7">
              <w:rPr>
                <w:szCs w:val="18"/>
              </w:rPr>
              <w:t xml:space="preserve">, vjerovanja o zagrobnom životu, koncept duše) i štovanje carske osobe; </w:t>
            </w:r>
            <w:proofErr w:type="spellStart"/>
            <w:r w:rsidRPr="00EE31E7">
              <w:rPr>
                <w:szCs w:val="18"/>
              </w:rPr>
              <w:t>mitraizam</w:t>
            </w:r>
            <w:proofErr w:type="spellEnd"/>
            <w:r w:rsidRPr="00EE31E7">
              <w:rPr>
                <w:szCs w:val="18"/>
              </w:rPr>
              <w:t xml:space="preserve">; autohtoni, </w:t>
            </w:r>
            <w:proofErr w:type="spellStart"/>
            <w:r w:rsidRPr="00EE31E7">
              <w:rPr>
                <w:szCs w:val="18"/>
              </w:rPr>
              <w:t>metroački</w:t>
            </w:r>
            <w:proofErr w:type="spellEnd"/>
            <w:r w:rsidRPr="00EE31E7">
              <w:rPr>
                <w:szCs w:val="18"/>
              </w:rPr>
              <w:t xml:space="preserve"> i drugi maloazijski i orijentalni kultovi, egipatska božanstva u Rimu. Ikonografija bogova. Privatni i javni obredi; fatum i </w:t>
            </w:r>
            <w:proofErr w:type="spellStart"/>
            <w:r w:rsidRPr="00EE31E7">
              <w:rPr>
                <w:szCs w:val="18"/>
              </w:rPr>
              <w:t>soterija</w:t>
            </w:r>
            <w:proofErr w:type="spellEnd"/>
            <w:r w:rsidRPr="00EE31E7">
              <w:rPr>
                <w:szCs w:val="18"/>
              </w:rPr>
              <w:t xml:space="preserve">; sinkretizam, monoteističke silnice. Propast poganstva i kristijanizacija rimskog svijeta. </w:t>
            </w:r>
          </w:p>
          <w:p w14:paraId="67C9210D" w14:textId="77777777" w:rsidR="00EE31E7" w:rsidRPr="00EE31E7" w:rsidRDefault="00EE31E7" w:rsidP="00435437">
            <w:pPr>
              <w:snapToGrid w:val="0"/>
              <w:jc w:val="both"/>
              <w:rPr>
                <w:szCs w:val="18"/>
              </w:rPr>
            </w:pPr>
          </w:p>
          <w:p w14:paraId="2A05D494" w14:textId="77777777" w:rsidR="00FC2198" w:rsidRPr="00303CDA" w:rsidRDefault="00EE31E7" w:rsidP="00303CDA">
            <w:pPr>
              <w:jc w:val="both"/>
              <w:rPr>
                <w:szCs w:val="18"/>
              </w:rPr>
            </w:pPr>
            <w:r w:rsidRPr="00EE31E7">
              <w:rPr>
                <w:szCs w:val="18"/>
              </w:rPr>
              <w:t>Cilj kolegija je predočiti stratifikaciju rimskog društva, razvoj i djelovanje glavnih institucija i tijela, kao i pojasniti temeljne društvene procese koji su se odvijali tijekom milenijske rimske povijesti. Tako bi studenti usvojili odgovarajuću terminologiju i stekli osnovna znanja o strukturama, čime bi bilo olakšano praćenje nastave i razumijevanje predmeta antičke arheologije (Latinskog jezika, Klasične, Rimsko-provincijalne i Starokršćanske arheologije, Epigrafike i Numizmatike).</w:t>
            </w:r>
          </w:p>
        </w:tc>
      </w:tr>
      <w:tr w:rsidR="00FC2198" w:rsidRPr="00FF1020" w14:paraId="7CCB524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F0DECDE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7444B937" w14:textId="77777777" w:rsidR="00EE31E7" w:rsidRPr="009D336A" w:rsidRDefault="00EE31E7" w:rsidP="00EE31E7">
            <w:r w:rsidRPr="009D336A">
              <w:rPr>
                <w:caps/>
              </w:rPr>
              <w:t>1. Uvodno predavanje</w:t>
            </w:r>
          </w:p>
          <w:p w14:paraId="0B827882" w14:textId="77777777" w:rsidR="00EE31E7" w:rsidRPr="009D336A" w:rsidRDefault="00EE31E7" w:rsidP="00EE31E7">
            <w:r>
              <w:t>U</w:t>
            </w:r>
            <w:r w:rsidRPr="009D336A">
              <w:t>poznavanje sa sadržajem kolegija, načinom rada, ciljevima</w:t>
            </w:r>
          </w:p>
          <w:p w14:paraId="2755BAB7" w14:textId="77777777" w:rsidR="00EE31E7" w:rsidRPr="009D336A" w:rsidRDefault="00EE31E7" w:rsidP="00EE31E7">
            <w:r w:rsidRPr="009D336A">
              <w:t xml:space="preserve">Predmet je temeljan. Sluša se tijekom jednog semestra, tjedno je 2 sata predavanja i 1 sat seminara [P/S]. </w:t>
            </w:r>
          </w:p>
          <w:p w14:paraId="1EE8CDC2" w14:textId="77777777" w:rsidR="00EE31E7" w:rsidRDefault="00EE31E7" w:rsidP="00EE31E7">
            <w:r w:rsidRPr="009D336A">
              <w:t xml:space="preserve">Program obuhvaća glavne socijalne procese, razvoj društvenog uređenja i vladarskih ustrojstava (kraljevstvo, republika, </w:t>
            </w:r>
            <w:proofErr w:type="spellStart"/>
            <w:r w:rsidRPr="009D336A">
              <w:t>principat</w:t>
            </w:r>
            <w:proofErr w:type="spellEnd"/>
            <w:r w:rsidRPr="009D336A">
              <w:t xml:space="preserve"> i </w:t>
            </w:r>
            <w:proofErr w:type="spellStart"/>
            <w:r w:rsidRPr="009D336A">
              <w:t>dominat</w:t>
            </w:r>
            <w:proofErr w:type="spellEnd"/>
            <w:r w:rsidRPr="009D336A">
              <w:t>).</w:t>
            </w:r>
          </w:p>
          <w:p w14:paraId="642A45B2" w14:textId="77777777" w:rsidR="00EE31E7" w:rsidRPr="009D336A" w:rsidRDefault="00EE31E7" w:rsidP="00EE31E7">
            <w:pPr>
              <w:rPr>
                <w:b/>
              </w:rPr>
            </w:pPr>
            <w:r w:rsidRPr="009D336A">
              <w:t xml:space="preserve"> </w:t>
            </w:r>
          </w:p>
          <w:p w14:paraId="44C09CAC" w14:textId="77777777" w:rsidR="00EE31E7" w:rsidRPr="009D336A" w:rsidRDefault="00EE31E7" w:rsidP="00EE31E7">
            <w:pPr>
              <w:snapToGrid w:val="0"/>
            </w:pPr>
            <w:r w:rsidRPr="009D336A">
              <w:rPr>
                <w:caps/>
              </w:rPr>
              <w:t>2. Razvoj rimskog društva, društvena uređenja, ustrojstvo vlasti</w:t>
            </w:r>
          </w:p>
          <w:p w14:paraId="2C47589D" w14:textId="77777777" w:rsidR="00EE31E7" w:rsidRPr="009D336A" w:rsidRDefault="00EE31E7" w:rsidP="00EE31E7">
            <w:pPr>
              <w:snapToGrid w:val="0"/>
            </w:pPr>
            <w:r w:rsidRPr="009D336A">
              <w:t xml:space="preserve">Glavni socijalni procesi, razvoj društvenog uređenja i ustrojstva vlasti. Kraljevstvo, republika, </w:t>
            </w:r>
            <w:proofErr w:type="spellStart"/>
            <w:r w:rsidRPr="009D336A">
              <w:t>principat</w:t>
            </w:r>
            <w:proofErr w:type="spellEnd"/>
            <w:r w:rsidRPr="009D336A">
              <w:t xml:space="preserve"> i </w:t>
            </w:r>
            <w:proofErr w:type="spellStart"/>
            <w:r w:rsidRPr="009D336A">
              <w:t>dominat</w:t>
            </w:r>
            <w:proofErr w:type="spellEnd"/>
            <w:r w:rsidRPr="009D336A">
              <w:t xml:space="preserve">. Odnos patricija i plebejaca. Pojašnjavaju se pojmovi: </w:t>
            </w:r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regnum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res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publica</w:t>
            </w:r>
            <w:proofErr w:type="spellEnd"/>
            <w:r w:rsidRPr="009D336A">
              <w:rPr>
                <w:i/>
                <w:iCs/>
              </w:rPr>
              <w:t xml:space="preserve">, ager </w:t>
            </w:r>
            <w:proofErr w:type="spellStart"/>
            <w:r w:rsidRPr="009D336A">
              <w:rPr>
                <w:i/>
                <w:iCs/>
              </w:rPr>
              <w:t>Romanus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coloniae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municipii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socii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civitates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foederate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Italia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provinciae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optimates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populares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principatus</w:t>
            </w:r>
            <w:proofErr w:type="spellEnd"/>
            <w:r w:rsidRPr="009D336A">
              <w:rPr>
                <w:i/>
                <w:iCs/>
              </w:rPr>
              <w:t xml:space="preserve">, pax Romana, </w:t>
            </w:r>
            <w:proofErr w:type="spellStart"/>
            <w:r w:rsidRPr="009D336A">
              <w:rPr>
                <w:i/>
                <w:iCs/>
              </w:rPr>
              <w:t>exercitus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bellum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damnatio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memoriae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religio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dominatus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consilium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principis</w:t>
            </w:r>
            <w:proofErr w:type="spellEnd"/>
            <w:r w:rsidRPr="009D336A">
              <w:t>.</w:t>
            </w:r>
          </w:p>
          <w:p w14:paraId="481F489D" w14:textId="77777777" w:rsidR="00FC2198" w:rsidRDefault="00FC2198" w:rsidP="0079745E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</w:p>
          <w:p w14:paraId="7331971C" w14:textId="77777777" w:rsidR="00EE31E7" w:rsidRPr="009D336A" w:rsidRDefault="00EE31E7" w:rsidP="00EE31E7">
            <w:pPr>
              <w:snapToGrid w:val="0"/>
              <w:rPr>
                <w:caps/>
              </w:rPr>
            </w:pPr>
            <w:r w:rsidRPr="009D336A">
              <w:rPr>
                <w:caps/>
              </w:rPr>
              <w:t>3. Društveni slojevi, Osobni status</w:t>
            </w:r>
          </w:p>
          <w:p w14:paraId="507EF279" w14:textId="77777777" w:rsidR="00EE31E7" w:rsidRPr="009D336A" w:rsidRDefault="00EE31E7" w:rsidP="00EE31E7">
            <w:r w:rsidRPr="009D336A">
              <w:t>Rimsko društvo je raslojeno na slobodne i neslobodne, na niz hijerarhijski postavljenih redova, na brojne interesne grupacije, religijska i strukovna udruženja.</w:t>
            </w:r>
          </w:p>
          <w:p w14:paraId="3128FBFA" w14:textId="77777777" w:rsidR="00EE31E7" w:rsidRDefault="00EE31E7" w:rsidP="00EE31E7">
            <w:pPr>
              <w:snapToGrid w:val="0"/>
            </w:pPr>
            <w:r w:rsidRPr="009D336A">
              <w:t xml:space="preserve">Objasnit će se pojmovi poput: </w:t>
            </w:r>
            <w:proofErr w:type="spellStart"/>
            <w:r w:rsidRPr="009D336A">
              <w:rPr>
                <w:i/>
                <w:iCs/>
              </w:rPr>
              <w:t>civis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civitas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peregrinus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libertus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manumissio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servus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ordo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senatorius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ordo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equester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ingenuus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praetexta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feminae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mancipium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patricii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plebeii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tribus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nobilitas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ius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imaginum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ordo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publicanorum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collegium</w:t>
            </w:r>
            <w:proofErr w:type="spellEnd"/>
            <w:r w:rsidRPr="009D336A">
              <w:t>.</w:t>
            </w:r>
          </w:p>
          <w:p w14:paraId="0C576E81" w14:textId="77777777" w:rsidR="00EE31E7" w:rsidRDefault="00EE31E7" w:rsidP="00EE31E7">
            <w:pPr>
              <w:snapToGrid w:val="0"/>
            </w:pPr>
          </w:p>
          <w:p w14:paraId="113705AF" w14:textId="77777777" w:rsidR="00EE31E7" w:rsidRPr="009D336A" w:rsidRDefault="00EE31E7" w:rsidP="00EE31E7">
            <w:pPr>
              <w:snapToGrid w:val="0"/>
              <w:rPr>
                <w:iCs/>
              </w:rPr>
            </w:pPr>
            <w:r w:rsidRPr="009D336A">
              <w:t xml:space="preserve">4. </w:t>
            </w:r>
            <w:r w:rsidRPr="009D336A">
              <w:rPr>
                <w:iCs/>
              </w:rPr>
              <w:t>CURSUS HONORUM SENATORA I VITEZOVA</w:t>
            </w:r>
          </w:p>
          <w:p w14:paraId="06E1D49B" w14:textId="77777777" w:rsidR="00EE31E7" w:rsidRDefault="00EE31E7" w:rsidP="00EE31E7">
            <w:pPr>
              <w:snapToGrid w:val="0"/>
              <w:rPr>
                <w:i/>
                <w:iCs/>
              </w:rPr>
            </w:pPr>
            <w:proofErr w:type="spellStart"/>
            <w:r w:rsidRPr="009D336A">
              <w:rPr>
                <w:i/>
                <w:iCs/>
              </w:rPr>
              <w:t>Cursus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honorum</w:t>
            </w:r>
            <w:proofErr w:type="spellEnd"/>
            <w:r w:rsidRPr="009D336A">
              <w:t xml:space="preserve"> senatora i vitezova značajan je zbog moći, ovlasti i utjecaja kojima su ti redovi gradili povijest Rima. Pojmovi:</w:t>
            </w:r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magistratus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dictator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consul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interrex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praetor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magister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equitum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censor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aedilis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tribunus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plebis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quaestor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vigintivir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tribunus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militum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militia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curator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procurator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praefectus</w:t>
            </w:r>
            <w:proofErr w:type="spellEnd"/>
            <w:r w:rsidRPr="009D336A">
              <w:rPr>
                <w:i/>
                <w:iCs/>
              </w:rPr>
              <w:t>.</w:t>
            </w:r>
          </w:p>
          <w:p w14:paraId="20A60378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1BDFDF2C" w14:textId="77777777" w:rsidR="00EE31E7" w:rsidRPr="009D336A" w:rsidRDefault="00EE31E7" w:rsidP="00EE31E7">
            <w:pPr>
              <w:snapToGrid w:val="0"/>
              <w:rPr>
                <w:iCs/>
              </w:rPr>
            </w:pPr>
            <w:r w:rsidRPr="009D336A">
              <w:rPr>
                <w:iCs/>
              </w:rPr>
              <w:t>5. DRŽAVA, ITALIJA, PROVINCIJA, GRAD</w:t>
            </w:r>
          </w:p>
          <w:p w14:paraId="768166E2" w14:textId="77777777" w:rsidR="00EE31E7" w:rsidRPr="009D336A" w:rsidRDefault="00EE31E7" w:rsidP="00EE31E7">
            <w:pPr>
              <w:snapToGrid w:val="0"/>
            </w:pPr>
            <w:r w:rsidRPr="009D336A">
              <w:t xml:space="preserve">Širenje rimske države, latinski savez, stvaranje Italije i podjela na regije, provincije: </w:t>
            </w:r>
            <w:proofErr w:type="spellStart"/>
            <w:r w:rsidRPr="009D336A">
              <w:t>propretorske</w:t>
            </w:r>
            <w:proofErr w:type="spellEnd"/>
            <w:r w:rsidRPr="009D336A">
              <w:t xml:space="preserve"> i prokonzulske, carske, senatorske i prokuratorske. </w:t>
            </w:r>
            <w:r w:rsidRPr="009D336A">
              <w:lastRenderedPageBreak/>
              <w:t xml:space="preserve">Uprava provincija. Status naselja, odnos grada i sela, teritorij, </w:t>
            </w:r>
            <w:proofErr w:type="spellStart"/>
            <w:r w:rsidRPr="009D336A">
              <w:t>limitacija</w:t>
            </w:r>
            <w:proofErr w:type="spellEnd"/>
            <w:r w:rsidRPr="009D336A">
              <w:t xml:space="preserve"> agera, legijski logori. Uprava gradova.  </w:t>
            </w:r>
          </w:p>
          <w:p w14:paraId="5D54EC61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1DFD1DE1" w14:textId="77777777" w:rsidR="00EE31E7" w:rsidRPr="009D336A" w:rsidRDefault="00EE31E7" w:rsidP="00EE31E7">
            <w:pPr>
              <w:snapToGrid w:val="0"/>
              <w:rPr>
                <w:iCs/>
              </w:rPr>
            </w:pPr>
            <w:r w:rsidRPr="009D336A">
              <w:t xml:space="preserve">6. </w:t>
            </w:r>
            <w:r w:rsidRPr="009D336A">
              <w:rPr>
                <w:iCs/>
              </w:rPr>
              <w:t>POVIJEST RIMSKOG USTAVA</w:t>
            </w:r>
          </w:p>
          <w:p w14:paraId="12701603" w14:textId="77777777" w:rsidR="00EE31E7" w:rsidRDefault="00EE31E7" w:rsidP="00EE31E7">
            <w:pPr>
              <w:snapToGrid w:val="0"/>
              <w:rPr>
                <w:i/>
                <w:iCs/>
              </w:rPr>
            </w:pPr>
            <w:r w:rsidRPr="009D336A">
              <w:t xml:space="preserve">Pregledno se izlažu osnovni pojmovi rimskog prava; razvoj rimskog ustava od običajnog prava, preko Zakonika dvanaest ploča do Justinijanove kodifikacije; zakonodavno djelovanje narodnih skupština, pretora i drugih magistrata, senata i careva. Pojašnjavaju se termini: </w:t>
            </w:r>
            <w:proofErr w:type="spellStart"/>
            <w:r w:rsidRPr="009D336A">
              <w:rPr>
                <w:i/>
                <w:iCs/>
              </w:rPr>
              <w:t>lex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edictum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senatus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consultum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decretum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mandatum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praescriptum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candidatus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suffectus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prorogatio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fasces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imperium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potestas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comitiae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contiones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magistratus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rex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princeps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dominus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consilium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regio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administratio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apparitores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servi</w:t>
            </w:r>
            <w:proofErr w:type="spellEnd"/>
            <w:r w:rsidRPr="009D336A">
              <w:rPr>
                <w:i/>
                <w:iCs/>
              </w:rPr>
              <w:t xml:space="preserve"> publici, </w:t>
            </w:r>
            <w:proofErr w:type="spellStart"/>
            <w:r w:rsidRPr="009D336A">
              <w:rPr>
                <w:i/>
                <w:iCs/>
              </w:rPr>
              <w:t>legatus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proconsul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IIvir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praepositus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quaestiones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perpetuae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consulares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iuridici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correctores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aerarium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fiscus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census</w:t>
            </w:r>
            <w:proofErr w:type="spellEnd"/>
            <w:r w:rsidRPr="009D336A">
              <w:rPr>
                <w:i/>
                <w:iCs/>
              </w:rPr>
              <w:t>.</w:t>
            </w:r>
          </w:p>
          <w:p w14:paraId="71091953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051D73C0" w14:textId="77777777" w:rsidR="00EE31E7" w:rsidRPr="009D336A" w:rsidRDefault="00EE31E7" w:rsidP="00EE31E7">
            <w:pPr>
              <w:snapToGrid w:val="0"/>
              <w:rPr>
                <w:iCs/>
              </w:rPr>
            </w:pPr>
            <w:r w:rsidRPr="009D336A">
              <w:rPr>
                <w:iCs/>
              </w:rPr>
              <w:t>7. RIMSKI NOVAC, MONETARNA POLITIKA I FINANCIJE</w:t>
            </w:r>
          </w:p>
          <w:p w14:paraId="55EE441F" w14:textId="77777777" w:rsidR="00EE31E7" w:rsidRDefault="00EE31E7" w:rsidP="00EE31E7">
            <w:pPr>
              <w:snapToGrid w:val="0"/>
            </w:pPr>
            <w:r w:rsidRPr="009D336A">
              <w:t xml:space="preserve">Sažeto se opisuje početak uporabe novca kod Rimljana; težinske mjere i novčane vrijednosti. Kovanje u republikanskom periodu; uloga Senata i monetarnih </w:t>
            </w:r>
            <w:proofErr w:type="spellStart"/>
            <w:r w:rsidRPr="009D336A">
              <w:t>kvatuorvira</w:t>
            </w:r>
            <w:proofErr w:type="spellEnd"/>
            <w:r w:rsidRPr="009D336A">
              <w:t xml:space="preserve">; </w:t>
            </w:r>
            <w:r w:rsidRPr="009D336A">
              <w:rPr>
                <w:i/>
                <w:iCs/>
              </w:rPr>
              <w:t xml:space="preserve">as, </w:t>
            </w:r>
            <w:proofErr w:type="spellStart"/>
            <w:r w:rsidRPr="009D336A">
              <w:rPr>
                <w:i/>
                <w:iCs/>
              </w:rPr>
              <w:t>sestertius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denarius</w:t>
            </w:r>
            <w:proofErr w:type="spellEnd"/>
            <w:r w:rsidRPr="009D336A">
              <w:rPr>
                <w:i/>
                <w:iCs/>
              </w:rPr>
              <w:t xml:space="preserve">, </w:t>
            </w:r>
            <w:proofErr w:type="spellStart"/>
            <w:r w:rsidRPr="009D336A">
              <w:rPr>
                <w:i/>
                <w:iCs/>
              </w:rPr>
              <w:t>aureus</w:t>
            </w:r>
            <w:proofErr w:type="spellEnd"/>
            <w:r w:rsidRPr="009D336A">
              <w:t xml:space="preserve">. Emitiranje pod carskom ingerencijom. Disperzija kovnica izvan Rome; inflacija cijena i devalvacija; uvođenje </w:t>
            </w:r>
            <w:proofErr w:type="spellStart"/>
            <w:r w:rsidRPr="009D336A">
              <w:t>antoninijana</w:t>
            </w:r>
            <w:proofErr w:type="spellEnd"/>
            <w:r w:rsidRPr="009D336A">
              <w:t xml:space="preserve">. Dioklecijanove novčano-financijske reforme (novi monetarni standardi, </w:t>
            </w:r>
            <w:proofErr w:type="spellStart"/>
            <w:r w:rsidRPr="009D336A">
              <w:t>maksimacija</w:t>
            </w:r>
            <w:proofErr w:type="spellEnd"/>
            <w:r w:rsidRPr="009D336A">
              <w:t xml:space="preserve"> cijena); «barbarizacija» kasnoantičkog novca.</w:t>
            </w:r>
          </w:p>
          <w:p w14:paraId="30B83C05" w14:textId="77777777" w:rsidR="00EE31E7" w:rsidRDefault="00EE31E7" w:rsidP="00EE31E7">
            <w:pPr>
              <w:snapToGrid w:val="0"/>
            </w:pPr>
          </w:p>
          <w:p w14:paraId="26E34EBB" w14:textId="77777777" w:rsidR="00EE31E7" w:rsidRPr="009D336A" w:rsidRDefault="00EE31E7" w:rsidP="00EE31E7">
            <w:pPr>
              <w:snapToGrid w:val="0"/>
              <w:rPr>
                <w:caps/>
              </w:rPr>
            </w:pPr>
            <w:r w:rsidRPr="009D336A">
              <w:t xml:space="preserve">8. </w:t>
            </w:r>
            <w:r w:rsidRPr="009D336A">
              <w:rPr>
                <w:caps/>
              </w:rPr>
              <w:t>VOJSKA U DOBA REPUBLIKE</w:t>
            </w:r>
          </w:p>
          <w:p w14:paraId="79501746" w14:textId="77777777" w:rsidR="00EE31E7" w:rsidRPr="009D336A" w:rsidRDefault="00EE31E7" w:rsidP="00EE31E7">
            <w:pPr>
              <w:snapToGrid w:val="0"/>
            </w:pPr>
            <w:r w:rsidRPr="009D336A">
              <w:t xml:space="preserve">Vojska u doba republike. Odnos </w:t>
            </w:r>
            <w:proofErr w:type="spellStart"/>
            <w:r w:rsidRPr="009D336A">
              <w:t>cenzitivnog</w:t>
            </w:r>
            <w:proofErr w:type="spellEnd"/>
            <w:r w:rsidRPr="009D336A">
              <w:t xml:space="preserve"> poretka i mjesta u postrojbi. Legije i savezničke </w:t>
            </w:r>
            <w:proofErr w:type="spellStart"/>
            <w:r w:rsidRPr="009D336A">
              <w:t>ale</w:t>
            </w:r>
            <w:proofErr w:type="spellEnd"/>
            <w:r w:rsidRPr="009D336A">
              <w:t xml:space="preserve">. Konzuli, legati, centurioni. Promjene od Gaja Marija do Augusta: uvođenje kohorte kao osnovne taktičke postrojbe umjesto </w:t>
            </w:r>
            <w:proofErr w:type="spellStart"/>
            <w:r w:rsidRPr="009D336A">
              <w:t>manipula</w:t>
            </w:r>
            <w:proofErr w:type="spellEnd"/>
            <w:r w:rsidRPr="009D336A">
              <w:t>, profesionalizacija, vojnička blagajna, stalnost postrojbi.</w:t>
            </w:r>
          </w:p>
          <w:p w14:paraId="1099D33E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784999E8" w14:textId="77777777" w:rsidR="00EE31E7" w:rsidRPr="009D336A" w:rsidRDefault="00EE31E7" w:rsidP="00EE31E7">
            <w:pPr>
              <w:snapToGrid w:val="0"/>
              <w:rPr>
                <w:iCs/>
              </w:rPr>
            </w:pPr>
            <w:r w:rsidRPr="009D336A">
              <w:t xml:space="preserve">9. </w:t>
            </w:r>
            <w:r w:rsidRPr="009D336A">
              <w:rPr>
                <w:iCs/>
              </w:rPr>
              <w:t>CARSKA VOJSKA</w:t>
            </w:r>
          </w:p>
          <w:p w14:paraId="3AA255D0" w14:textId="77777777" w:rsidR="00EE31E7" w:rsidRPr="009D336A" w:rsidRDefault="00EE31E7" w:rsidP="00EE31E7">
            <w:pPr>
              <w:snapToGrid w:val="0"/>
            </w:pPr>
            <w:r w:rsidRPr="009D336A">
              <w:t xml:space="preserve">Carski </w:t>
            </w:r>
            <w:proofErr w:type="spellStart"/>
            <w:r w:rsidRPr="009D336A">
              <w:rPr>
                <w:i/>
                <w:iCs/>
              </w:rPr>
              <w:t>exercitus</w:t>
            </w:r>
            <w:proofErr w:type="spellEnd"/>
            <w:r w:rsidRPr="009D336A">
              <w:t xml:space="preserve">. Legije, </w:t>
            </w:r>
            <w:proofErr w:type="spellStart"/>
            <w:r w:rsidRPr="009D336A">
              <w:t>augzilijarne</w:t>
            </w:r>
            <w:proofErr w:type="spellEnd"/>
            <w:r w:rsidRPr="009D336A">
              <w:t xml:space="preserve"> postrojbe, pretorske kohorte, </w:t>
            </w:r>
            <w:proofErr w:type="spellStart"/>
            <w:r w:rsidRPr="009D336A">
              <w:t>vigile</w:t>
            </w:r>
            <w:proofErr w:type="spellEnd"/>
            <w:r w:rsidRPr="009D336A">
              <w:t xml:space="preserve"> i urbane kohorte, flote; logori; dnevni vojnički život; oprema i naoružanje; opsjedanje; </w:t>
            </w:r>
            <w:r w:rsidRPr="009D336A">
              <w:rPr>
                <w:i/>
                <w:iCs/>
              </w:rPr>
              <w:t>limes</w:t>
            </w:r>
            <w:r w:rsidRPr="009D336A">
              <w:t>. Zapovjedna struktura; mogućnost napredovanja u više društvene slojeve; regionalno načelo služenja vojske; razdvajanje civilne i vojničke karijere; rast zapovjedne uloge vitezova. Kasnoantičke promjene: tvornice oružja i opreme, poljske vojske i granične postrojbe; nova zapovjedna struktura; barbarizacija. Diploma.</w:t>
            </w:r>
          </w:p>
          <w:p w14:paraId="00C2E236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4F6CD655" w14:textId="77777777" w:rsidR="00EE31E7" w:rsidRPr="009D336A" w:rsidRDefault="00EE31E7" w:rsidP="00EE31E7">
            <w:pPr>
              <w:snapToGrid w:val="0"/>
              <w:rPr>
                <w:caps/>
              </w:rPr>
            </w:pPr>
            <w:r w:rsidRPr="009D336A">
              <w:rPr>
                <w:caps/>
              </w:rPr>
              <w:t>10. RimsKO ORUŽJE I VOJNA OPREMA</w:t>
            </w:r>
          </w:p>
          <w:p w14:paraId="1D6754DF" w14:textId="77777777" w:rsidR="00EE31E7" w:rsidRPr="009D336A" w:rsidRDefault="00EE31E7" w:rsidP="00EE31E7">
            <w:r w:rsidRPr="009D336A">
              <w:t xml:space="preserve">Razvoj oružja i opreme rimskog vojnika u republikansko i carsko doba. Izvori (literarni, </w:t>
            </w:r>
            <w:proofErr w:type="spellStart"/>
            <w:r w:rsidRPr="009D336A">
              <w:t>epigrafički</w:t>
            </w:r>
            <w:proofErr w:type="spellEnd"/>
            <w:r w:rsidRPr="009D336A">
              <w:t>, sitni materijal, javni spomenici). Kaciga, štit, oklop, obuća. Mač, bodež, sulica, koplje, luk i strijela, projektili. Ruksak. Bojne sprave. Konjska oprema. Oprema za turnire i vježbe.</w:t>
            </w:r>
          </w:p>
          <w:p w14:paraId="202FB3B9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610E8956" w14:textId="77777777" w:rsidR="00EE31E7" w:rsidRPr="009D336A" w:rsidRDefault="00EE31E7" w:rsidP="00EE31E7">
            <w:r w:rsidRPr="009D336A">
              <w:t>11. SUDSTVO, FINANCIJE, CARINA, BENEFICIJARIJI, KONCESIJE</w:t>
            </w:r>
          </w:p>
          <w:p w14:paraId="05B78CE0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6DA41EAD" w14:textId="77777777" w:rsidR="00EE31E7" w:rsidRPr="009D336A" w:rsidRDefault="00EE31E7" w:rsidP="00EE31E7">
            <w:pPr>
              <w:snapToGrid w:val="0"/>
              <w:rPr>
                <w:caps/>
              </w:rPr>
            </w:pPr>
            <w:r w:rsidRPr="009D336A">
              <w:t xml:space="preserve">12. </w:t>
            </w:r>
            <w:r w:rsidRPr="009D336A">
              <w:rPr>
                <w:caps/>
              </w:rPr>
              <w:t>Rimska KLASIČNA religija</w:t>
            </w:r>
          </w:p>
          <w:p w14:paraId="4C39C09E" w14:textId="77777777" w:rsidR="00EE31E7" w:rsidRPr="009D336A" w:rsidRDefault="00EE31E7" w:rsidP="00EE31E7">
            <w:r w:rsidRPr="009D336A">
              <w:t xml:space="preserve">Rimska religija. Politeizam, eklekticizam; grčki i etruščanski utjecaji; uloga Senata i </w:t>
            </w:r>
            <w:proofErr w:type="spellStart"/>
            <w:r w:rsidRPr="009D336A">
              <w:t>sibilinskih</w:t>
            </w:r>
            <w:proofErr w:type="spellEnd"/>
            <w:r w:rsidRPr="009D336A">
              <w:t xml:space="preserve"> </w:t>
            </w:r>
            <w:proofErr w:type="spellStart"/>
            <w:r w:rsidRPr="009D336A">
              <w:t>sacerdota</w:t>
            </w:r>
            <w:proofErr w:type="spellEnd"/>
            <w:r w:rsidRPr="009D336A">
              <w:t xml:space="preserve"> u uvođenju kultova. Svećenički kolegiji, kultna mjesta, obredi, </w:t>
            </w:r>
            <w:proofErr w:type="spellStart"/>
            <w:r w:rsidRPr="009D336A">
              <w:t>votivni</w:t>
            </w:r>
            <w:proofErr w:type="spellEnd"/>
            <w:r w:rsidRPr="009D336A">
              <w:t xml:space="preserve"> spomenici, kalendar. Rimska klasična religija (kult </w:t>
            </w:r>
            <w:proofErr w:type="spellStart"/>
            <w:r w:rsidRPr="009D336A">
              <w:t>Kapitolijske</w:t>
            </w:r>
            <w:proofErr w:type="spellEnd"/>
            <w:r w:rsidRPr="009D336A">
              <w:t xml:space="preserve"> trijade, </w:t>
            </w:r>
            <w:proofErr w:type="spellStart"/>
            <w:r w:rsidRPr="009D336A">
              <w:rPr>
                <w:i/>
                <w:iCs/>
              </w:rPr>
              <w:t>Dii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sanctores</w:t>
            </w:r>
            <w:proofErr w:type="spellEnd"/>
            <w:r w:rsidRPr="009D336A">
              <w:rPr>
                <w:i/>
                <w:iCs/>
              </w:rPr>
              <w:t xml:space="preserve"> </w:t>
            </w:r>
            <w:proofErr w:type="spellStart"/>
            <w:r w:rsidRPr="009D336A">
              <w:rPr>
                <w:i/>
                <w:iCs/>
              </w:rPr>
              <w:t>maiores</w:t>
            </w:r>
            <w:proofErr w:type="spellEnd"/>
            <w:r w:rsidRPr="009D336A">
              <w:t xml:space="preserve">, religijski elementi u </w:t>
            </w:r>
            <w:proofErr w:type="spellStart"/>
            <w:r w:rsidRPr="009D336A">
              <w:t>limitaciji</w:t>
            </w:r>
            <w:proofErr w:type="spellEnd"/>
            <w:r w:rsidRPr="009D336A">
              <w:t xml:space="preserve"> agera i podizanju </w:t>
            </w:r>
            <w:proofErr w:type="spellStart"/>
            <w:r w:rsidRPr="009D336A">
              <w:t>tropeja</w:t>
            </w:r>
            <w:proofErr w:type="spellEnd"/>
            <w:r w:rsidRPr="009D336A">
              <w:t xml:space="preserve">, vjerovanja o zagrobnom životu, koncept duše). Sinkretizam, monoteističke silnice. Propast poganstva i kristijanizacija rimskog svijeta. </w:t>
            </w:r>
          </w:p>
          <w:p w14:paraId="5E9F4B48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2017F9DA" w14:textId="77777777" w:rsidR="00EE31E7" w:rsidRPr="009D336A" w:rsidRDefault="00EE31E7" w:rsidP="00EE31E7">
            <w:pPr>
              <w:snapToGrid w:val="0"/>
              <w:rPr>
                <w:caps/>
              </w:rPr>
            </w:pPr>
            <w:r w:rsidRPr="009D336A">
              <w:rPr>
                <w:caps/>
              </w:rPr>
              <w:t>13. CARSKI KULT – GENEZA, KOLEGIJI, DRUŠTVENA ULOGA</w:t>
            </w:r>
          </w:p>
          <w:p w14:paraId="52D8DADD" w14:textId="77777777" w:rsidR="00EE31E7" w:rsidRPr="009D336A" w:rsidRDefault="00EE31E7" w:rsidP="00EE31E7">
            <w:pPr>
              <w:snapToGrid w:val="0"/>
            </w:pPr>
            <w:r w:rsidRPr="009D336A">
              <w:t xml:space="preserve">Kult rimskih rodova i helenističke sakralne monarhije u genezi carskog kulta. </w:t>
            </w:r>
            <w:proofErr w:type="spellStart"/>
            <w:r w:rsidRPr="009D336A">
              <w:t>Princeps</w:t>
            </w:r>
            <w:proofErr w:type="spellEnd"/>
            <w:r w:rsidRPr="009D336A">
              <w:t xml:space="preserve">. Carske </w:t>
            </w:r>
            <w:proofErr w:type="spellStart"/>
            <w:r w:rsidRPr="009D336A">
              <w:t>sodalitates</w:t>
            </w:r>
            <w:proofErr w:type="spellEnd"/>
            <w:r w:rsidRPr="009D336A">
              <w:t xml:space="preserve">. Provincijski kultovi, građanski i </w:t>
            </w:r>
            <w:proofErr w:type="spellStart"/>
            <w:r w:rsidRPr="009D336A">
              <w:t>oslobođenički</w:t>
            </w:r>
            <w:proofErr w:type="spellEnd"/>
            <w:r w:rsidRPr="009D336A">
              <w:t xml:space="preserve"> kolegiji carskog kulta. Uloga patrona u širenju kulta, spona središte – periferija.</w:t>
            </w:r>
          </w:p>
          <w:p w14:paraId="645132BD" w14:textId="77777777" w:rsidR="00EE31E7" w:rsidRDefault="00EE31E7" w:rsidP="00EE31E7">
            <w:pPr>
              <w:snapToGrid w:val="0"/>
              <w:rPr>
                <w:i/>
                <w:iCs/>
              </w:rPr>
            </w:pPr>
          </w:p>
          <w:p w14:paraId="1A14706D" w14:textId="77777777" w:rsidR="00EE31E7" w:rsidRPr="009D336A" w:rsidRDefault="00EE31E7" w:rsidP="00EE31E7">
            <w:pPr>
              <w:snapToGrid w:val="0"/>
              <w:rPr>
                <w:caps/>
              </w:rPr>
            </w:pPr>
            <w:r w:rsidRPr="009D336A">
              <w:t xml:space="preserve">14. </w:t>
            </w:r>
            <w:r w:rsidRPr="009D336A">
              <w:rPr>
                <w:caps/>
              </w:rPr>
              <w:t>AUTOHTONI KULTOVI, MISTERIJSKE i ORIJENTALNE RELIGIJE</w:t>
            </w:r>
          </w:p>
          <w:p w14:paraId="1D29D16D" w14:textId="77777777" w:rsidR="00EE31E7" w:rsidRPr="009D336A" w:rsidRDefault="00EE31E7" w:rsidP="00EE31E7">
            <w:r w:rsidRPr="009D336A">
              <w:t xml:space="preserve">Odnos klasične rimske religije i autohtonih kultova. Procesi kontaminacije, sinkretizma i </w:t>
            </w:r>
            <w:proofErr w:type="spellStart"/>
            <w:r w:rsidRPr="009D336A">
              <w:t>interpretatio</w:t>
            </w:r>
            <w:proofErr w:type="spellEnd"/>
            <w:r w:rsidRPr="009D336A">
              <w:t xml:space="preserve"> romana. Rimski utjecaj na imenovanje i ikonografiju </w:t>
            </w:r>
            <w:r w:rsidRPr="009D336A">
              <w:lastRenderedPageBreak/>
              <w:t xml:space="preserve">autohtonih božanstva i izgled kultnih mjesta. Geneza i disperzija </w:t>
            </w:r>
            <w:proofErr w:type="spellStart"/>
            <w:r w:rsidRPr="009D336A">
              <w:t>mitraizma</w:t>
            </w:r>
            <w:proofErr w:type="spellEnd"/>
            <w:r w:rsidRPr="009D336A">
              <w:t>. Uvoz orijentalnih božanstva i smještanje u rimski panteon. Svećenička tijela i kolegiji vjernika.</w:t>
            </w:r>
          </w:p>
          <w:p w14:paraId="6854158B" w14:textId="77777777" w:rsidR="00435437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eastAsia="MS Gothic"/>
                <w:i/>
              </w:rPr>
            </w:pPr>
          </w:p>
        </w:tc>
      </w:tr>
      <w:tr w:rsidR="00FC2198" w:rsidRPr="00FF1020" w14:paraId="26F6316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1F82DF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6EC7736" w14:textId="77777777" w:rsidR="00826A98" w:rsidRPr="009D336A" w:rsidRDefault="00826A98" w:rsidP="00826A98">
            <w:pPr>
              <w:jc w:val="both"/>
            </w:pPr>
            <w:r w:rsidRPr="009D336A">
              <w:t xml:space="preserve">P. CONOLLY, </w:t>
            </w:r>
            <w:r w:rsidRPr="009D336A">
              <w:rPr>
                <w:i/>
              </w:rPr>
              <w:t>Rimska vojska</w:t>
            </w:r>
            <w:r w:rsidRPr="009D336A">
              <w:t>, Ljubljana – Zagreb 1990.</w:t>
            </w:r>
          </w:p>
          <w:p w14:paraId="08A61010" w14:textId="77777777" w:rsidR="00826A98" w:rsidRPr="009D336A" w:rsidRDefault="00826A98" w:rsidP="00826A98">
            <w:pPr>
              <w:jc w:val="both"/>
            </w:pPr>
            <w:r w:rsidRPr="009D336A">
              <w:t xml:space="preserve">J. FERGUSON, </w:t>
            </w:r>
            <w:proofErr w:type="spellStart"/>
            <w:r w:rsidRPr="009D336A">
              <w:rPr>
                <w:i/>
              </w:rPr>
              <w:t>The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religions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of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the</w:t>
            </w:r>
            <w:proofErr w:type="spellEnd"/>
            <w:r w:rsidRPr="009D336A">
              <w:rPr>
                <w:i/>
              </w:rPr>
              <w:t xml:space="preserve"> Roman Empire</w:t>
            </w:r>
            <w:r w:rsidRPr="009D336A">
              <w:t>, London 1970. (ili neko drugo slično djelo koje se bavi rimskog religijom)</w:t>
            </w:r>
          </w:p>
          <w:p w14:paraId="65C2E730" w14:textId="77777777" w:rsidR="00826A98" w:rsidRPr="009D336A" w:rsidRDefault="00826A98" w:rsidP="00826A98">
            <w:pPr>
              <w:jc w:val="both"/>
            </w:pPr>
            <w:r w:rsidRPr="009D336A">
              <w:t xml:space="preserve">A. M. LIBERATI – F. BOURBON, </w:t>
            </w:r>
            <w:r w:rsidRPr="009D336A">
              <w:rPr>
                <w:i/>
              </w:rPr>
              <w:t>Drevni Rim. Povijest civilizacije koja je vladala svijetom</w:t>
            </w:r>
            <w:r w:rsidRPr="009D336A">
              <w:t>, Zagreb 2000.</w:t>
            </w:r>
          </w:p>
          <w:p w14:paraId="012C112E" w14:textId="77777777" w:rsidR="00826A98" w:rsidRPr="009D336A" w:rsidRDefault="00826A98" w:rsidP="00826A98">
            <w:pPr>
              <w:jc w:val="both"/>
            </w:pPr>
            <w:r w:rsidRPr="009D336A">
              <w:rPr>
                <w:i/>
                <w:iCs/>
              </w:rPr>
              <w:t>Povijest</w:t>
            </w:r>
            <w:r w:rsidRPr="009D336A">
              <w:t>: Biblioteka Jutarnjeg lista, knj. 4. Rimsko Carstvo, odgovarajuća poglavlja.</w:t>
            </w:r>
          </w:p>
          <w:p w14:paraId="129BC50A" w14:textId="77777777" w:rsidR="00826A98" w:rsidRPr="009D336A" w:rsidRDefault="00826A98" w:rsidP="00826A98">
            <w:pPr>
              <w:jc w:val="both"/>
            </w:pPr>
            <w:r w:rsidRPr="009D336A">
              <w:t xml:space="preserve">A. ROMAC, </w:t>
            </w:r>
            <w:r w:rsidRPr="009D336A">
              <w:rPr>
                <w:i/>
              </w:rPr>
              <w:t>Rimsko pravo</w:t>
            </w:r>
            <w:r w:rsidRPr="009D336A">
              <w:t>, Zagreb 1987 (ili neko drugo izdanje) [poglavlje «Pregled pravne povijesti»]</w:t>
            </w:r>
          </w:p>
          <w:p w14:paraId="7CE2D45E" w14:textId="77777777" w:rsidR="00826A98" w:rsidRDefault="00826A98" w:rsidP="00826A98">
            <w:pPr>
              <w:tabs>
                <w:tab w:val="left" w:pos="1218"/>
              </w:tabs>
              <w:spacing w:before="20" w:after="20"/>
              <w:rPr>
                <w:b/>
                <w:bCs/>
                <w:sz w:val="20"/>
                <w:szCs w:val="20"/>
              </w:rPr>
            </w:pPr>
            <w:r w:rsidRPr="009D336A">
              <w:t xml:space="preserve">A. STARAC, </w:t>
            </w:r>
            <w:r w:rsidRPr="009D336A">
              <w:rPr>
                <w:i/>
              </w:rPr>
              <w:t xml:space="preserve">Rimsko vladanje u </w:t>
            </w:r>
            <w:proofErr w:type="spellStart"/>
            <w:r w:rsidRPr="009D336A">
              <w:rPr>
                <w:i/>
              </w:rPr>
              <w:t>Histriji</w:t>
            </w:r>
            <w:proofErr w:type="spellEnd"/>
            <w:r w:rsidRPr="009D336A">
              <w:rPr>
                <w:i/>
              </w:rPr>
              <w:t xml:space="preserve"> i Liburniji I – </w:t>
            </w:r>
            <w:proofErr w:type="spellStart"/>
            <w:r w:rsidRPr="009D336A">
              <w:rPr>
                <w:i/>
              </w:rPr>
              <w:t>Histrija</w:t>
            </w:r>
            <w:proofErr w:type="spellEnd"/>
            <w:r w:rsidRPr="009D336A">
              <w:rPr>
                <w:i/>
              </w:rPr>
              <w:t>. Društveno i pravno uređenje prema literarnoj, natpisnoj i arheološkoj građi</w:t>
            </w:r>
            <w:r w:rsidRPr="009D336A">
              <w:t>, Pula 1999.</w:t>
            </w:r>
            <w:r>
              <w:t>[odgovarajuća poglavlja]</w:t>
            </w:r>
          </w:p>
          <w:p w14:paraId="24FA0749" w14:textId="77777777" w:rsidR="00FC2198" w:rsidRPr="00FF1020" w:rsidRDefault="008C7489" w:rsidP="008C7489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  <w:r w:rsidRPr="008C7489">
              <w:rPr>
                <w:b/>
                <w:bCs/>
                <w:sz w:val="20"/>
                <w:szCs w:val="20"/>
              </w:rPr>
              <w:t>Ukupno</w:t>
            </w:r>
            <w:r w:rsidR="00826A98">
              <w:rPr>
                <w:bCs/>
                <w:sz w:val="20"/>
                <w:szCs w:val="20"/>
              </w:rPr>
              <w:t>: oko 6</w:t>
            </w:r>
            <w:r w:rsidRPr="008C7489">
              <w:rPr>
                <w:bCs/>
                <w:sz w:val="20"/>
                <w:szCs w:val="20"/>
              </w:rPr>
              <w:t>00 stranica</w:t>
            </w:r>
          </w:p>
        </w:tc>
      </w:tr>
      <w:tr w:rsidR="00FC2198" w:rsidRPr="00FF1020" w14:paraId="0A8E7E7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D1BA2B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DFF298" w14:textId="77777777" w:rsidR="008C7489" w:rsidRPr="008C7489" w:rsidRDefault="008C7489" w:rsidP="008C7489">
            <w:pPr>
              <w:rPr>
                <w:sz w:val="20"/>
                <w:szCs w:val="20"/>
              </w:rPr>
            </w:pPr>
            <w:r w:rsidRPr="008C7489">
              <w:rPr>
                <w:bCs/>
                <w:sz w:val="20"/>
                <w:szCs w:val="20"/>
              </w:rPr>
              <w:t xml:space="preserve">Služi prvenstveno za </w:t>
            </w:r>
            <w:r w:rsidR="00D37050">
              <w:rPr>
                <w:bCs/>
                <w:sz w:val="20"/>
                <w:szCs w:val="20"/>
              </w:rPr>
              <w:t xml:space="preserve">personalno </w:t>
            </w:r>
            <w:r w:rsidRPr="008C7489">
              <w:rPr>
                <w:bCs/>
                <w:sz w:val="20"/>
                <w:szCs w:val="20"/>
              </w:rPr>
              <w:t>proširivanje znanja studenata o temi.</w:t>
            </w:r>
          </w:p>
          <w:p w14:paraId="076A6513" w14:textId="77777777" w:rsidR="00826A98" w:rsidRPr="009D336A" w:rsidRDefault="00826A98" w:rsidP="00826A98">
            <w:pPr>
              <w:jc w:val="both"/>
            </w:pPr>
            <w:r w:rsidRPr="009D336A">
              <w:t xml:space="preserve">F. F. ABBOT - A. </w:t>
            </w:r>
            <w:proofErr w:type="spellStart"/>
            <w:r w:rsidRPr="009D336A">
              <w:t>Ch</w:t>
            </w:r>
            <w:proofErr w:type="spellEnd"/>
            <w:r w:rsidRPr="009D336A">
              <w:t xml:space="preserve">. JOHNSON, </w:t>
            </w:r>
            <w:proofErr w:type="spellStart"/>
            <w:r w:rsidRPr="009D336A">
              <w:rPr>
                <w:i/>
              </w:rPr>
              <w:t>Municipal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Administration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in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the</w:t>
            </w:r>
            <w:proofErr w:type="spellEnd"/>
            <w:r w:rsidRPr="009D336A">
              <w:rPr>
                <w:i/>
              </w:rPr>
              <w:t xml:space="preserve"> Roman Empire, </w:t>
            </w:r>
            <w:r w:rsidRPr="009D336A">
              <w:t>Princeton</w:t>
            </w:r>
            <w:r w:rsidRPr="009D336A">
              <w:rPr>
                <w:i/>
              </w:rPr>
              <w:t xml:space="preserve"> </w:t>
            </w:r>
            <w:r w:rsidRPr="009D336A">
              <w:t>1926.</w:t>
            </w:r>
          </w:p>
          <w:p w14:paraId="17B431B2" w14:textId="77777777" w:rsidR="00826A98" w:rsidRPr="009D336A" w:rsidRDefault="00826A98" w:rsidP="00826A98">
            <w:pPr>
              <w:jc w:val="both"/>
            </w:pPr>
            <w:r w:rsidRPr="009D336A">
              <w:t xml:space="preserve">B. GABRIČEVIĆ, </w:t>
            </w:r>
            <w:r w:rsidRPr="009D336A">
              <w:rPr>
                <w:i/>
              </w:rPr>
              <w:t>Studije i članci o religijama i kultovima antičkog svijeta</w:t>
            </w:r>
            <w:r w:rsidRPr="009D336A">
              <w:t>, Split 1987.</w:t>
            </w:r>
          </w:p>
          <w:p w14:paraId="76E32F13" w14:textId="77777777" w:rsidR="00826A98" w:rsidRPr="009D336A" w:rsidRDefault="00826A98" w:rsidP="00826A98">
            <w:pPr>
              <w:jc w:val="both"/>
            </w:pPr>
            <w:r w:rsidRPr="009D336A">
              <w:t xml:space="preserve">M. GLAVIČIĆ, </w:t>
            </w:r>
            <w:r w:rsidRPr="009D336A">
              <w:rPr>
                <w:i/>
              </w:rPr>
              <w:t>Gradski dužnosnici na natpisima obalnog područja rimske provincije Dalmacije</w:t>
            </w:r>
            <w:r w:rsidRPr="009D336A">
              <w:t>, (disertacija – rukopis), Zadar 2001.</w:t>
            </w:r>
          </w:p>
          <w:p w14:paraId="0491F06B" w14:textId="77777777" w:rsidR="00826A98" w:rsidRPr="009D336A" w:rsidRDefault="00826A98" w:rsidP="00826A98">
            <w:pPr>
              <w:jc w:val="both"/>
            </w:pPr>
            <w:r w:rsidRPr="009D336A">
              <w:t xml:space="preserve">F. de MARTINO, </w:t>
            </w:r>
            <w:proofErr w:type="spellStart"/>
            <w:r w:rsidRPr="009D336A">
              <w:t>Intorno</w:t>
            </w:r>
            <w:proofErr w:type="spellEnd"/>
            <w:r w:rsidRPr="009D336A">
              <w:t xml:space="preserve"> </w:t>
            </w:r>
            <w:proofErr w:type="spellStart"/>
            <w:r w:rsidRPr="009D336A">
              <w:t>alľorigine</w:t>
            </w:r>
            <w:proofErr w:type="spellEnd"/>
            <w:r w:rsidRPr="009D336A">
              <w:t xml:space="preserve"> della </w:t>
            </w:r>
            <w:proofErr w:type="spellStart"/>
            <w:r w:rsidRPr="009D336A">
              <w:t>repubblica</w:t>
            </w:r>
            <w:proofErr w:type="spellEnd"/>
            <w:r w:rsidRPr="009D336A">
              <w:t xml:space="preserve"> romana e </w:t>
            </w:r>
            <w:proofErr w:type="spellStart"/>
            <w:r w:rsidRPr="009D336A">
              <w:t>delle</w:t>
            </w:r>
            <w:proofErr w:type="spellEnd"/>
            <w:r w:rsidRPr="009D336A">
              <w:t xml:space="preserve"> magistrature, </w:t>
            </w:r>
            <w:r w:rsidRPr="009D336A">
              <w:rPr>
                <w:i/>
              </w:rPr>
              <w:t>ANRW</w:t>
            </w:r>
            <w:r w:rsidRPr="009D336A">
              <w:t xml:space="preserve"> I/1, 217-249.</w:t>
            </w:r>
          </w:p>
          <w:p w14:paraId="6DC0E227" w14:textId="77777777" w:rsidR="00826A98" w:rsidRPr="009D336A" w:rsidRDefault="00826A98" w:rsidP="00826A98">
            <w:pPr>
              <w:jc w:val="both"/>
            </w:pPr>
            <w:r w:rsidRPr="009D336A">
              <w:t xml:space="preserve">P. KOS, </w:t>
            </w:r>
            <w:r w:rsidRPr="009D336A">
              <w:rPr>
                <w:i/>
              </w:rPr>
              <w:t>Leksikon antičke numizmatike</w:t>
            </w:r>
            <w:r w:rsidRPr="009D336A">
              <w:t>, Zagreb 1998.</w:t>
            </w:r>
          </w:p>
          <w:p w14:paraId="1BB0F598" w14:textId="77777777" w:rsidR="00826A98" w:rsidRPr="009D336A" w:rsidRDefault="00826A98" w:rsidP="00826A98">
            <w:pPr>
              <w:jc w:val="both"/>
            </w:pPr>
            <w:r w:rsidRPr="009D336A">
              <w:rPr>
                <w:i/>
              </w:rPr>
              <w:t xml:space="preserve">Roman </w:t>
            </w:r>
            <w:proofErr w:type="spellStart"/>
            <w:r w:rsidRPr="009D336A">
              <w:rPr>
                <w:i/>
              </w:rPr>
              <w:t>Fortresses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and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their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Legions</w:t>
            </w:r>
            <w:proofErr w:type="spellEnd"/>
            <w:r w:rsidRPr="009D336A">
              <w:t xml:space="preserve"> [</w:t>
            </w:r>
            <w:proofErr w:type="spellStart"/>
            <w:r w:rsidRPr="009D336A">
              <w:t>ed</w:t>
            </w:r>
            <w:proofErr w:type="spellEnd"/>
            <w:r w:rsidRPr="009D336A">
              <w:t>. R. J. BREWER], London – Cardiff, 2000.</w:t>
            </w:r>
          </w:p>
          <w:p w14:paraId="6ECA92C5" w14:textId="77777777" w:rsidR="00826A98" w:rsidRPr="009D336A" w:rsidRDefault="00826A98" w:rsidP="00826A98">
            <w:pPr>
              <w:jc w:val="both"/>
            </w:pPr>
            <w:r w:rsidRPr="009D336A">
              <w:t xml:space="preserve">P. SOUTHERN – K. RAMSEY DIXON, </w:t>
            </w:r>
            <w:proofErr w:type="spellStart"/>
            <w:r w:rsidRPr="009D336A">
              <w:rPr>
                <w:i/>
              </w:rPr>
              <w:t>The</w:t>
            </w:r>
            <w:proofErr w:type="spellEnd"/>
            <w:r w:rsidRPr="009D336A">
              <w:rPr>
                <w:i/>
              </w:rPr>
              <w:t xml:space="preserve"> Late Roman </w:t>
            </w:r>
            <w:proofErr w:type="spellStart"/>
            <w:r w:rsidRPr="009D336A">
              <w:rPr>
                <w:i/>
              </w:rPr>
              <w:t>Army</w:t>
            </w:r>
            <w:proofErr w:type="spellEnd"/>
            <w:r w:rsidRPr="009D336A">
              <w:t>, London 1996.</w:t>
            </w:r>
          </w:p>
          <w:p w14:paraId="6C6D8580" w14:textId="77777777" w:rsidR="00826A98" w:rsidRPr="009D336A" w:rsidRDefault="00826A98" w:rsidP="00826A98">
            <w:pPr>
              <w:jc w:val="both"/>
            </w:pPr>
            <w:r w:rsidRPr="009D336A">
              <w:t xml:space="preserve">J. M. C. TOYNBEE, </w:t>
            </w:r>
            <w:proofErr w:type="spellStart"/>
            <w:r w:rsidRPr="009D336A">
              <w:rPr>
                <w:i/>
              </w:rPr>
              <w:t>Death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and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Burial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in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the</w:t>
            </w:r>
            <w:proofErr w:type="spellEnd"/>
            <w:r w:rsidRPr="009D336A">
              <w:rPr>
                <w:i/>
              </w:rPr>
              <w:t xml:space="preserve"> Roman World</w:t>
            </w:r>
            <w:r w:rsidRPr="009D336A">
              <w:t>, London, 1970.</w:t>
            </w:r>
          </w:p>
          <w:p w14:paraId="40A77C1B" w14:textId="77777777" w:rsidR="00826A98" w:rsidRPr="009D336A" w:rsidRDefault="00826A98" w:rsidP="00826A98">
            <w:pPr>
              <w:jc w:val="both"/>
            </w:pPr>
            <w:r w:rsidRPr="009D336A">
              <w:t>Korisno je konsultirati iduće edicije:</w:t>
            </w:r>
          </w:p>
          <w:p w14:paraId="7450F458" w14:textId="77777777" w:rsidR="00826A98" w:rsidRPr="009D336A" w:rsidRDefault="00826A98" w:rsidP="00826A98">
            <w:pPr>
              <w:jc w:val="both"/>
            </w:pPr>
            <w:r w:rsidRPr="009D336A">
              <w:rPr>
                <w:i/>
                <w:lang w:val="de-DE"/>
              </w:rPr>
              <w:t>ANRW</w:t>
            </w:r>
            <w:r w:rsidRPr="009D336A">
              <w:rPr>
                <w:i/>
              </w:rPr>
              <w:t xml:space="preserve"> </w:t>
            </w:r>
            <w:r w:rsidRPr="009D336A">
              <w:t>(</w:t>
            </w:r>
            <w:r w:rsidRPr="009D336A">
              <w:rPr>
                <w:i/>
                <w:lang w:val="de-DE"/>
              </w:rPr>
              <w:t>Aufstieg</w:t>
            </w:r>
            <w:r w:rsidRPr="009D336A">
              <w:rPr>
                <w:i/>
              </w:rPr>
              <w:t xml:space="preserve"> </w:t>
            </w:r>
            <w:r w:rsidRPr="009D336A">
              <w:rPr>
                <w:i/>
                <w:lang w:val="de-DE"/>
              </w:rPr>
              <w:t>und</w:t>
            </w:r>
            <w:r w:rsidRPr="009D336A">
              <w:rPr>
                <w:i/>
              </w:rPr>
              <w:t xml:space="preserve"> </w:t>
            </w:r>
            <w:r w:rsidRPr="009D336A">
              <w:rPr>
                <w:i/>
                <w:lang w:val="de-DE"/>
              </w:rPr>
              <w:t>Niedergang</w:t>
            </w:r>
            <w:r w:rsidRPr="009D336A">
              <w:rPr>
                <w:i/>
              </w:rPr>
              <w:t xml:space="preserve"> </w:t>
            </w:r>
            <w:r w:rsidRPr="009D336A">
              <w:rPr>
                <w:i/>
                <w:lang w:val="de-DE"/>
              </w:rPr>
              <w:t>der</w:t>
            </w:r>
            <w:r w:rsidRPr="009D336A">
              <w:rPr>
                <w:i/>
              </w:rPr>
              <w:t xml:space="preserve"> </w:t>
            </w:r>
            <w:r w:rsidRPr="009D336A">
              <w:rPr>
                <w:i/>
                <w:lang w:val="de-DE"/>
              </w:rPr>
              <w:t>r</w:t>
            </w:r>
            <w:r w:rsidRPr="009D336A">
              <w:rPr>
                <w:i/>
              </w:rPr>
              <w:t>ö</w:t>
            </w:r>
            <w:r w:rsidRPr="009D336A">
              <w:rPr>
                <w:i/>
                <w:lang w:val="de-DE"/>
              </w:rPr>
              <w:t>mischen</w:t>
            </w:r>
            <w:r w:rsidRPr="009D336A">
              <w:rPr>
                <w:i/>
              </w:rPr>
              <w:t xml:space="preserve"> </w:t>
            </w:r>
            <w:r w:rsidRPr="009D336A">
              <w:rPr>
                <w:i/>
                <w:lang w:val="de-DE"/>
              </w:rPr>
              <w:t>Welt</w:t>
            </w:r>
            <w:r w:rsidRPr="009D336A">
              <w:t xml:space="preserve">), </w:t>
            </w:r>
            <w:r w:rsidRPr="009D336A">
              <w:rPr>
                <w:lang w:val="de-DE"/>
              </w:rPr>
              <w:t>Berlin</w:t>
            </w:r>
            <w:r w:rsidRPr="009D336A">
              <w:t xml:space="preserve"> – </w:t>
            </w:r>
            <w:r w:rsidRPr="009D336A">
              <w:rPr>
                <w:lang w:val="de-DE"/>
              </w:rPr>
              <w:t>New</w:t>
            </w:r>
            <w:r w:rsidRPr="009D336A">
              <w:t xml:space="preserve"> </w:t>
            </w:r>
            <w:r w:rsidRPr="009D336A">
              <w:rPr>
                <w:lang w:val="de-DE"/>
              </w:rPr>
              <w:t>York</w:t>
            </w:r>
            <w:r w:rsidRPr="009D336A">
              <w:t xml:space="preserve">, </w:t>
            </w:r>
            <w:proofErr w:type="spellStart"/>
            <w:r w:rsidRPr="009D336A">
              <w:rPr>
                <w:lang w:val="de-DE"/>
              </w:rPr>
              <w:t>od</w:t>
            </w:r>
            <w:proofErr w:type="spellEnd"/>
            <w:r w:rsidRPr="009D336A">
              <w:t xml:space="preserve"> 1972 </w:t>
            </w:r>
            <w:proofErr w:type="spellStart"/>
            <w:r w:rsidRPr="009D336A">
              <w:rPr>
                <w:lang w:val="de-DE"/>
              </w:rPr>
              <w:t>nadalje</w:t>
            </w:r>
            <w:proofErr w:type="spellEnd"/>
            <w:r w:rsidRPr="009D336A">
              <w:t>.</w:t>
            </w:r>
          </w:p>
          <w:p w14:paraId="60BABA52" w14:textId="77777777" w:rsidR="00826A98" w:rsidRPr="009D336A" w:rsidRDefault="00826A98" w:rsidP="00826A98">
            <w:pPr>
              <w:jc w:val="both"/>
            </w:pPr>
            <w:r w:rsidRPr="009D336A">
              <w:rPr>
                <w:i/>
              </w:rPr>
              <w:t xml:space="preserve">CIL </w:t>
            </w:r>
            <w:r w:rsidRPr="009D336A">
              <w:t>(</w:t>
            </w:r>
            <w:proofErr w:type="spellStart"/>
            <w:r w:rsidRPr="009D336A">
              <w:rPr>
                <w:i/>
              </w:rPr>
              <w:t>Corpus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Inscriptionum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Latinarum</w:t>
            </w:r>
            <w:proofErr w:type="spellEnd"/>
            <w:r w:rsidRPr="009D336A">
              <w:t xml:space="preserve">), Leipzig – Berlin: </w:t>
            </w:r>
            <w:proofErr w:type="spellStart"/>
            <w:r w:rsidRPr="009D336A">
              <w:t>Acad</w:t>
            </w:r>
            <w:proofErr w:type="spellEnd"/>
            <w:r w:rsidRPr="009D336A">
              <w:t xml:space="preserve">. </w:t>
            </w:r>
            <w:proofErr w:type="spellStart"/>
            <w:r w:rsidRPr="009D336A">
              <w:t>Litt</w:t>
            </w:r>
            <w:proofErr w:type="spellEnd"/>
            <w:r w:rsidRPr="009D336A">
              <w:t xml:space="preserve">. </w:t>
            </w:r>
            <w:proofErr w:type="spellStart"/>
            <w:r w:rsidRPr="009D336A">
              <w:t>Boruss</w:t>
            </w:r>
            <w:proofErr w:type="spellEnd"/>
            <w:r w:rsidRPr="009D336A">
              <w:t>., od 1893 nadalje.</w:t>
            </w:r>
          </w:p>
          <w:p w14:paraId="768ABA6C" w14:textId="77777777" w:rsidR="00826A98" w:rsidRPr="009D336A" w:rsidRDefault="00826A98" w:rsidP="00826A98">
            <w:pPr>
              <w:jc w:val="both"/>
            </w:pPr>
            <w:proofErr w:type="spellStart"/>
            <w:r w:rsidRPr="009D336A">
              <w:rPr>
                <w:i/>
              </w:rPr>
              <w:t>The</w:t>
            </w:r>
            <w:proofErr w:type="spellEnd"/>
            <w:r w:rsidRPr="009D336A">
              <w:rPr>
                <w:i/>
              </w:rPr>
              <w:t xml:space="preserve"> Oxford </w:t>
            </w:r>
            <w:proofErr w:type="spellStart"/>
            <w:r w:rsidRPr="009D336A">
              <w:rPr>
                <w:i/>
              </w:rPr>
              <w:t>Classical</w:t>
            </w:r>
            <w:proofErr w:type="spellEnd"/>
            <w:r w:rsidRPr="009D336A">
              <w:rPr>
                <w:i/>
              </w:rPr>
              <w:t xml:space="preserve"> </w:t>
            </w:r>
            <w:proofErr w:type="spellStart"/>
            <w:r w:rsidRPr="009D336A">
              <w:rPr>
                <w:i/>
              </w:rPr>
              <w:t>Dictionary</w:t>
            </w:r>
            <w:proofErr w:type="spellEnd"/>
            <w:r w:rsidRPr="009D336A">
              <w:t xml:space="preserve"> [</w:t>
            </w:r>
            <w:proofErr w:type="spellStart"/>
            <w:r w:rsidRPr="009D336A">
              <w:t>ed</w:t>
            </w:r>
            <w:proofErr w:type="spellEnd"/>
            <w:r w:rsidRPr="009D336A">
              <w:t xml:space="preserve">. M. CARY </w:t>
            </w:r>
            <w:proofErr w:type="spellStart"/>
            <w:r w:rsidRPr="009D336A">
              <w:t>et</w:t>
            </w:r>
            <w:proofErr w:type="spellEnd"/>
            <w:r w:rsidRPr="009D336A">
              <w:t xml:space="preserve"> </w:t>
            </w:r>
            <w:proofErr w:type="spellStart"/>
            <w:r w:rsidRPr="009D336A">
              <w:rPr>
                <w:i/>
              </w:rPr>
              <w:t>alii</w:t>
            </w:r>
            <w:proofErr w:type="spellEnd"/>
            <w:r w:rsidRPr="009D336A">
              <w:t>], Oxford 1950.</w:t>
            </w:r>
          </w:p>
          <w:p w14:paraId="431EAAE2" w14:textId="77777777" w:rsidR="00FC2198" w:rsidRPr="00FF1020" w:rsidRDefault="00826A98" w:rsidP="00826A98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  <w:r w:rsidRPr="009D336A">
              <w:rPr>
                <w:i/>
                <w:lang w:val="de-DE"/>
              </w:rPr>
              <w:t>RE (</w:t>
            </w:r>
            <w:proofErr w:type="spellStart"/>
            <w:r w:rsidRPr="009D336A">
              <w:rPr>
                <w:i/>
                <w:lang w:val="de-DE"/>
              </w:rPr>
              <w:t>Realencyclop</w:t>
            </w:r>
            <w:proofErr w:type="spellEnd"/>
            <w:r w:rsidRPr="009D336A">
              <w:rPr>
                <w:i/>
              </w:rPr>
              <w:sym w:font="Times New Roman" w:char="00E4"/>
            </w:r>
            <w:r w:rsidRPr="009D336A">
              <w:rPr>
                <w:i/>
                <w:lang w:val="de-DE"/>
              </w:rPr>
              <w:t xml:space="preserve">die der </w:t>
            </w:r>
            <w:proofErr w:type="spellStart"/>
            <w:r w:rsidRPr="009D336A">
              <w:rPr>
                <w:i/>
                <w:lang w:val="de-DE"/>
              </w:rPr>
              <w:t>classischen</w:t>
            </w:r>
            <w:proofErr w:type="spellEnd"/>
            <w:r w:rsidRPr="009D336A">
              <w:rPr>
                <w:i/>
                <w:lang w:val="de-DE"/>
              </w:rPr>
              <w:t xml:space="preserve"> Altertumswissenschaft</w:t>
            </w:r>
            <w:r w:rsidRPr="009D336A">
              <w:rPr>
                <w:lang w:val="de-DE"/>
              </w:rPr>
              <w:t xml:space="preserve"> [</w:t>
            </w:r>
            <w:proofErr w:type="spellStart"/>
            <w:r w:rsidRPr="009D336A">
              <w:rPr>
                <w:lang w:val="de-DE"/>
              </w:rPr>
              <w:t>ed</w:t>
            </w:r>
            <w:proofErr w:type="spellEnd"/>
            <w:r w:rsidRPr="009D336A">
              <w:rPr>
                <w:lang w:val="de-DE"/>
              </w:rPr>
              <w:t xml:space="preserve">. PAULLY - WISSOWA – KROLL – MITTELHAUS – ZIEGLER i </w:t>
            </w:r>
            <w:proofErr w:type="spellStart"/>
            <w:r w:rsidRPr="009D336A">
              <w:rPr>
                <w:lang w:val="de-DE"/>
              </w:rPr>
              <w:t>dr.</w:t>
            </w:r>
            <w:proofErr w:type="spellEnd"/>
            <w:r w:rsidRPr="009D336A">
              <w:rPr>
                <w:lang w:val="de-DE"/>
              </w:rPr>
              <w:t xml:space="preserve">]), Stuttgart, </w:t>
            </w:r>
            <w:proofErr w:type="spellStart"/>
            <w:r w:rsidRPr="009D336A">
              <w:rPr>
                <w:lang w:val="de-DE"/>
              </w:rPr>
              <w:t>od</w:t>
            </w:r>
            <w:proofErr w:type="spellEnd"/>
            <w:r w:rsidRPr="009D336A">
              <w:rPr>
                <w:lang w:val="de-DE"/>
              </w:rPr>
              <w:t xml:space="preserve"> 1893. </w:t>
            </w:r>
            <w:proofErr w:type="spellStart"/>
            <w:r w:rsidRPr="009D336A">
              <w:rPr>
                <w:lang w:val="de-DE"/>
              </w:rPr>
              <w:t>nadalje</w:t>
            </w:r>
            <w:proofErr w:type="spellEnd"/>
            <w:r w:rsidRPr="009D336A">
              <w:t>.</w:t>
            </w:r>
          </w:p>
        </w:tc>
      </w:tr>
      <w:tr w:rsidR="00FC2198" w:rsidRPr="00FF1020" w14:paraId="6DBFB1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955C77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809098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</w:p>
        </w:tc>
      </w:tr>
      <w:tr w:rsidR="00B71A57" w:rsidRPr="00FF1020" w14:paraId="46B75E5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E084D97" w14:textId="77777777" w:rsidR="00B71A57" w:rsidRPr="00FF1020" w:rsidRDefault="00B71A57" w:rsidP="00C02454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F958394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eastAsia="MS Gothic"/>
              </w:rPr>
            </w:pPr>
          </w:p>
        </w:tc>
        <w:tc>
          <w:tcPr>
            <w:tcW w:w="1732" w:type="dxa"/>
            <w:gridSpan w:val="5"/>
          </w:tcPr>
          <w:p w14:paraId="35E5A9FF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eastAsia="MS Gothic"/>
              </w:rPr>
            </w:pPr>
          </w:p>
        </w:tc>
      </w:tr>
      <w:tr w:rsidR="00B71A57" w:rsidRPr="00FF1020" w14:paraId="67D3369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3AA62F5" w14:textId="77777777" w:rsidR="00B71A57" w:rsidRPr="00FF1020" w:rsidRDefault="00B71A57" w:rsidP="0079745E">
            <w:pPr>
              <w:spacing w:before="20" w:after="20"/>
              <w:rPr>
                <w:b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AA30B73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5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završni</w:t>
            </w:r>
          </w:p>
          <w:p w14:paraId="1BFB085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87B5849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50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završni</w:t>
            </w:r>
          </w:p>
          <w:p w14:paraId="7EF68CD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386B16E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151BD2C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26B7F98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CE3527F" w14:textId="77777777" w:rsidR="00B71A57" w:rsidRPr="00FF1020" w:rsidRDefault="00B71A57" w:rsidP="0079745E">
            <w:pPr>
              <w:spacing w:before="20" w:after="20"/>
              <w:rPr>
                <w:b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27E098B9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E4FA8BA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108D844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seminarski</w:t>
            </w:r>
          </w:p>
          <w:p w14:paraId="4B5D635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58BA15F8" w14:textId="77777777" w:rsidR="00B71A57" w:rsidRPr="00FF1020" w:rsidRDefault="005A78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5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seminarski</w:t>
            </w:r>
          </w:p>
          <w:p w14:paraId="75E9A3F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F43D82E" w14:textId="77777777" w:rsidR="00B71A57" w:rsidRPr="00FF1020" w:rsidRDefault="005A78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8C91F07" w14:textId="77777777" w:rsidR="00B71A57" w:rsidRPr="00FF1020" w:rsidRDefault="005A78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064691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EB98E9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B5614B0" w14:textId="77777777" w:rsidR="00FC2198" w:rsidRPr="00FF1020" w:rsidRDefault="00D37050" w:rsidP="008C7489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  <w:r>
              <w:rPr>
                <w:rFonts w:eastAsia="MS Gothic"/>
              </w:rPr>
              <w:t>100%</w:t>
            </w:r>
            <w:r w:rsidR="00FC2198" w:rsidRPr="00FF1020">
              <w:rPr>
                <w:rFonts w:eastAsia="MS Gothic"/>
              </w:rPr>
              <w:t xml:space="preserve"> završni ispit</w:t>
            </w:r>
          </w:p>
        </w:tc>
      </w:tr>
      <w:tr w:rsidR="00FC2198" w:rsidRPr="00FF1020" w14:paraId="4C7EB11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720B0A8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C260F73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0-45%</w:t>
            </w:r>
          </w:p>
        </w:tc>
        <w:tc>
          <w:tcPr>
            <w:tcW w:w="6061" w:type="dxa"/>
            <w:gridSpan w:val="27"/>
            <w:vAlign w:val="center"/>
          </w:tcPr>
          <w:p w14:paraId="7B2B704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nedovoljan (1)</w:t>
            </w:r>
          </w:p>
        </w:tc>
      </w:tr>
      <w:tr w:rsidR="00FC2198" w:rsidRPr="00FF1020" w14:paraId="6FDAD6E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35D088A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1D64A9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46-60%</w:t>
            </w:r>
          </w:p>
        </w:tc>
        <w:tc>
          <w:tcPr>
            <w:tcW w:w="6061" w:type="dxa"/>
            <w:gridSpan w:val="27"/>
            <w:vAlign w:val="center"/>
          </w:tcPr>
          <w:p w14:paraId="69AB68A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dovoljan (2)</w:t>
            </w:r>
          </w:p>
        </w:tc>
      </w:tr>
      <w:tr w:rsidR="00FC2198" w:rsidRPr="00FF1020" w14:paraId="62135A2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72A4D9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2ADF56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61-75%</w:t>
            </w:r>
          </w:p>
        </w:tc>
        <w:tc>
          <w:tcPr>
            <w:tcW w:w="6061" w:type="dxa"/>
            <w:gridSpan w:val="27"/>
            <w:vAlign w:val="center"/>
          </w:tcPr>
          <w:p w14:paraId="4DC6E38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dobar (3)</w:t>
            </w:r>
          </w:p>
        </w:tc>
      </w:tr>
      <w:tr w:rsidR="00FC2198" w:rsidRPr="00FF1020" w14:paraId="7BA2D33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B7584A6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66E93EC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5B2D806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vrlo dobar (4)</w:t>
            </w:r>
          </w:p>
        </w:tc>
      </w:tr>
      <w:tr w:rsidR="00FC2198" w:rsidRPr="00FF1020" w14:paraId="4587379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08CE35B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FAEAE8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60129FB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izvrstan (5)</w:t>
            </w:r>
          </w:p>
        </w:tc>
      </w:tr>
      <w:tr w:rsidR="00FC2198" w:rsidRPr="00FF1020" w14:paraId="0972FA4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F6C16C2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0B20332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t xml:space="preserve"> studentska evaluacija nastave na razini Sveučilišta </w:t>
            </w:r>
          </w:p>
          <w:p w14:paraId="68314C3C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t xml:space="preserve"> studentska evaluacija nastave na razini sastavnice</w:t>
            </w:r>
          </w:p>
          <w:p w14:paraId="4646870B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t xml:space="preserve"> interna evaluacija nastave </w:t>
            </w:r>
          </w:p>
          <w:p w14:paraId="1AB78465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t xml:space="preserve"> tematske sjednice stručnih vijeća sastavnica o kvaliteti nastave i rezultatima studentske ankete</w:t>
            </w:r>
          </w:p>
          <w:p w14:paraId="0D5ED08A" w14:textId="77777777" w:rsidR="00FC2198" w:rsidRPr="00FF1020" w:rsidRDefault="005A7806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t xml:space="preserve"> ostalo</w:t>
            </w:r>
          </w:p>
        </w:tc>
      </w:tr>
      <w:tr w:rsidR="00FC2198" w:rsidRPr="00FF1020" w14:paraId="33347C9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F93058" w14:textId="77777777" w:rsid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lastRenderedPageBreak/>
              <w:t>Napomena / </w:t>
            </w:r>
          </w:p>
          <w:p w14:paraId="64C067AC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4562B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Sukladno čl. 6. </w:t>
            </w:r>
            <w:r w:rsidRPr="00FF1020">
              <w:rPr>
                <w:rFonts w:eastAsia="MS Gothic"/>
                <w:i/>
              </w:rPr>
              <w:t>Etičkog kodeksa</w:t>
            </w:r>
            <w:r w:rsidRPr="00FF1020">
              <w:rPr>
                <w:rFonts w:eastAsia="MS Gothic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8C2E9D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Prema čl. 14. </w:t>
            </w:r>
            <w:r w:rsidRPr="00FF1020">
              <w:rPr>
                <w:rFonts w:eastAsia="MS Gothic"/>
                <w:i/>
              </w:rPr>
              <w:t>Etičkog kodeksa</w:t>
            </w:r>
            <w:r w:rsidRPr="00FF1020">
              <w:rPr>
                <w:rFonts w:eastAsia="MS Gothic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t xml:space="preserve"> </w:t>
            </w:r>
            <w:r w:rsidRPr="00FF1020">
              <w:rPr>
                <w:rFonts w:eastAsia="MS Gothic"/>
              </w:rPr>
              <w:t xml:space="preserve">[…] </w:t>
            </w:r>
          </w:p>
          <w:p w14:paraId="289283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Etički je nedopušten svaki čin koji predstavlja povrjedu akademskog poštenja. To uključuje, ali se ne ograničava samo na: </w:t>
            </w:r>
          </w:p>
          <w:p w14:paraId="17CE726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6077E4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884781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eastAsia="MS Gothic"/>
                  <w:i/>
                  <w:color w:val="auto"/>
                </w:rPr>
                <w:t>Pravilnik o stegovnoj odgovornosti studenata/studentica Sveučilišta u Zadru</w:t>
              </w:r>
            </w:hyperlink>
            <w:r w:rsidRPr="00FF1020">
              <w:rPr>
                <w:rFonts w:eastAsia="MS Gothic"/>
              </w:rPr>
              <w:t>.</w:t>
            </w:r>
          </w:p>
          <w:p w14:paraId="1CFF94F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</w:p>
          <w:p w14:paraId="1403CC8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0CA6BB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</w:p>
          <w:p w14:paraId="20929A41" w14:textId="77777777" w:rsidR="00FC2198" w:rsidRPr="00FF1020" w:rsidRDefault="008C74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612D0A">
              <w:rPr>
                <w:rFonts w:eastAsia="MS Gothic"/>
              </w:rPr>
              <w:t>U kolegiju se koristi Merlin, sustav za e-učenje, pa su studentima/</w:t>
            </w:r>
            <w:proofErr w:type="spellStart"/>
            <w:r w:rsidRPr="00612D0A">
              <w:rPr>
                <w:rFonts w:eastAsia="MS Gothic"/>
              </w:rPr>
              <w:t>cama</w:t>
            </w:r>
            <w:proofErr w:type="spellEnd"/>
            <w:r w:rsidRPr="00612D0A">
              <w:rPr>
                <w:rFonts w:eastAsia="MS Gothic"/>
              </w:rPr>
              <w:t xml:space="preserve"> potrebni AAI računi. </w:t>
            </w:r>
            <w:proofErr w:type="spellStart"/>
            <w:r w:rsidRPr="00612D0A">
              <w:rPr>
                <w:rFonts w:eastAsia="MS Gothic"/>
              </w:rPr>
              <w:t>Tkđ</w:t>
            </w:r>
            <w:proofErr w:type="spellEnd"/>
            <w:r w:rsidRPr="00612D0A">
              <w:rPr>
                <w:rFonts w:eastAsia="MS Gothic"/>
              </w:rPr>
              <w:t xml:space="preserve">. se koristi platforma </w:t>
            </w:r>
            <w:proofErr w:type="spellStart"/>
            <w:r w:rsidRPr="00612D0A">
              <w:rPr>
                <w:rFonts w:eastAsia="MS Gothic"/>
              </w:rPr>
              <w:t>MsTeams</w:t>
            </w:r>
            <w:proofErr w:type="spellEnd"/>
            <w:r w:rsidRPr="00612D0A">
              <w:rPr>
                <w:rFonts w:eastAsia="MS Gothic"/>
              </w:rPr>
              <w:t xml:space="preserve"> po potrebi.</w:t>
            </w:r>
          </w:p>
        </w:tc>
      </w:tr>
    </w:tbl>
    <w:p w14:paraId="7F9B8F0E" w14:textId="77777777" w:rsidR="00794496" w:rsidRPr="00386E9C" w:rsidRDefault="00794496">
      <w:pPr>
        <w:rPr>
          <w:rFonts w:ascii="Georgia" w:hAnsi="Georgia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A5B6" w14:textId="77777777" w:rsidR="005A7806" w:rsidRDefault="005A7806" w:rsidP="009947BA">
      <w:pPr>
        <w:spacing w:before="0" w:after="0"/>
      </w:pPr>
      <w:r>
        <w:separator/>
      </w:r>
    </w:p>
  </w:endnote>
  <w:endnote w:type="continuationSeparator" w:id="0">
    <w:p w14:paraId="19D0D32D" w14:textId="77777777" w:rsidR="005A7806" w:rsidRDefault="005A780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AECD" w14:textId="77777777" w:rsidR="005A7806" w:rsidRDefault="005A7806" w:rsidP="009947BA">
      <w:pPr>
        <w:spacing w:before="0" w:after="0"/>
      </w:pPr>
      <w:r>
        <w:separator/>
      </w:r>
    </w:p>
  </w:footnote>
  <w:footnote w:type="continuationSeparator" w:id="0">
    <w:p w14:paraId="64FBF637" w14:textId="77777777" w:rsidR="005A7806" w:rsidRDefault="005A7806" w:rsidP="009947BA">
      <w:pPr>
        <w:spacing w:before="0" w:after="0"/>
      </w:pPr>
      <w:r>
        <w:continuationSeparator/>
      </w:r>
    </w:p>
  </w:footnote>
  <w:footnote w:id="1">
    <w:p w14:paraId="3361C839" w14:textId="77777777" w:rsidR="00F82834" w:rsidRPr="00721260" w:rsidRDefault="00F82834" w:rsidP="00F82834">
      <w:pPr>
        <w:pStyle w:val="FootnoteText"/>
        <w:jc w:val="both"/>
        <w:rPr>
          <w:sz w:val="15"/>
          <w:szCs w:val="15"/>
        </w:rPr>
      </w:pPr>
      <w:r w:rsidRPr="00721260">
        <w:rPr>
          <w:rStyle w:val="FootnoteReference"/>
          <w:sz w:val="15"/>
          <w:szCs w:val="15"/>
        </w:rPr>
        <w:footnoteRef/>
      </w:r>
      <w:r w:rsidRPr="00721260">
        <w:rPr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A748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A0BD4" wp14:editId="5464A02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61F29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832A76D" wp14:editId="6A4DB45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A0BD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D361F29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832A76D" wp14:editId="6A4DB45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1D6505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szCs w:val="20"/>
      </w:rPr>
    </w:pPr>
    <w:r w:rsidRPr="00FF1020">
      <w:rPr>
        <w:szCs w:val="20"/>
      </w:rPr>
      <w:t>Obrazac 1.3.2. Izvedbeni plan nastave (</w:t>
    </w:r>
    <w:proofErr w:type="spellStart"/>
    <w:r w:rsidRPr="00FF1020">
      <w:rPr>
        <w:i/>
        <w:szCs w:val="20"/>
      </w:rPr>
      <w:t>syllabus</w:t>
    </w:r>
    <w:proofErr w:type="spellEnd"/>
    <w:r w:rsidRPr="00FF1020">
      <w:rPr>
        <w:szCs w:val="20"/>
      </w:rPr>
      <w:t>)</w:t>
    </w:r>
  </w:p>
  <w:p w14:paraId="15D51BFC" w14:textId="77777777" w:rsidR="0079745E" w:rsidRDefault="0079745E" w:rsidP="0079745E">
    <w:pPr>
      <w:pStyle w:val="Header"/>
    </w:pPr>
  </w:p>
  <w:p w14:paraId="2B9F482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7532"/>
    <w:multiLevelType w:val="hybridMultilevel"/>
    <w:tmpl w:val="60982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81994"/>
    <w:rsid w:val="000C0578"/>
    <w:rsid w:val="000F123D"/>
    <w:rsid w:val="0010332B"/>
    <w:rsid w:val="00103349"/>
    <w:rsid w:val="001443A2"/>
    <w:rsid w:val="00150B32"/>
    <w:rsid w:val="00197510"/>
    <w:rsid w:val="001C4C8A"/>
    <w:rsid w:val="001C7C51"/>
    <w:rsid w:val="001D41F2"/>
    <w:rsid w:val="00205982"/>
    <w:rsid w:val="00226462"/>
    <w:rsid w:val="0022722C"/>
    <w:rsid w:val="0028545A"/>
    <w:rsid w:val="002E1CE6"/>
    <w:rsid w:val="002F2D22"/>
    <w:rsid w:val="00303CDA"/>
    <w:rsid w:val="00310F9A"/>
    <w:rsid w:val="00326091"/>
    <w:rsid w:val="00357643"/>
    <w:rsid w:val="00371634"/>
    <w:rsid w:val="00386E9C"/>
    <w:rsid w:val="00393964"/>
    <w:rsid w:val="003F11B6"/>
    <w:rsid w:val="003F17B8"/>
    <w:rsid w:val="00435437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7806"/>
    <w:rsid w:val="005D7C42"/>
    <w:rsid w:val="005E1668"/>
    <w:rsid w:val="005E5F80"/>
    <w:rsid w:val="005F6E0B"/>
    <w:rsid w:val="0062328F"/>
    <w:rsid w:val="00684BBC"/>
    <w:rsid w:val="006B4920"/>
    <w:rsid w:val="00700D7A"/>
    <w:rsid w:val="00721260"/>
    <w:rsid w:val="00726AD3"/>
    <w:rsid w:val="007361E7"/>
    <w:rsid w:val="007368EB"/>
    <w:rsid w:val="007578BB"/>
    <w:rsid w:val="00775429"/>
    <w:rsid w:val="0078125F"/>
    <w:rsid w:val="00794496"/>
    <w:rsid w:val="007967CC"/>
    <w:rsid w:val="0079745E"/>
    <w:rsid w:val="00797B40"/>
    <w:rsid w:val="007C43A4"/>
    <w:rsid w:val="007D4D2D"/>
    <w:rsid w:val="00826A98"/>
    <w:rsid w:val="00865776"/>
    <w:rsid w:val="00874D5D"/>
    <w:rsid w:val="00891C60"/>
    <w:rsid w:val="008942F0"/>
    <w:rsid w:val="008A508A"/>
    <w:rsid w:val="008C7489"/>
    <w:rsid w:val="008D45DB"/>
    <w:rsid w:val="0090214F"/>
    <w:rsid w:val="009163E6"/>
    <w:rsid w:val="009325BE"/>
    <w:rsid w:val="009433FE"/>
    <w:rsid w:val="009760E8"/>
    <w:rsid w:val="009947BA"/>
    <w:rsid w:val="00997F41"/>
    <w:rsid w:val="009A3A9D"/>
    <w:rsid w:val="009C56B1"/>
    <w:rsid w:val="009D5226"/>
    <w:rsid w:val="009E2FD4"/>
    <w:rsid w:val="00A06750"/>
    <w:rsid w:val="00A41435"/>
    <w:rsid w:val="00A9132B"/>
    <w:rsid w:val="00A97051"/>
    <w:rsid w:val="00AA1A5A"/>
    <w:rsid w:val="00AD23FB"/>
    <w:rsid w:val="00B526D9"/>
    <w:rsid w:val="00B71A57"/>
    <w:rsid w:val="00B7307A"/>
    <w:rsid w:val="00B73FC9"/>
    <w:rsid w:val="00C02454"/>
    <w:rsid w:val="00C3477B"/>
    <w:rsid w:val="00C85956"/>
    <w:rsid w:val="00C9733D"/>
    <w:rsid w:val="00CA3783"/>
    <w:rsid w:val="00CB23F4"/>
    <w:rsid w:val="00D136E4"/>
    <w:rsid w:val="00D3705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C0961"/>
    <w:rsid w:val="00EE31E7"/>
    <w:rsid w:val="00F02A8F"/>
    <w:rsid w:val="00F22855"/>
    <w:rsid w:val="00F513E0"/>
    <w:rsid w:val="00F566DA"/>
    <w:rsid w:val="00F82834"/>
    <w:rsid w:val="00F84F5E"/>
    <w:rsid w:val="00FC2198"/>
    <w:rsid w:val="00FC283E"/>
    <w:rsid w:val="00FD686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2D25"/>
  <w15:docId w15:val="{64AEC2FF-CBAB-4AFC-9B27-0388E14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="Times New Roman"/>
        <w:sz w:val="18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1B1B-9C2F-4CD0-896D-D190AE3A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zmiletic@unizd.hr</cp:lastModifiedBy>
  <cp:revision>21</cp:revision>
  <cp:lastPrinted>2021-02-12T11:27:00Z</cp:lastPrinted>
  <dcterms:created xsi:type="dcterms:W3CDTF">2021-02-12T10:42:00Z</dcterms:created>
  <dcterms:modified xsi:type="dcterms:W3CDTF">2025-01-03T10:14:00Z</dcterms:modified>
</cp:coreProperties>
</file>