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2"/>
        <w:t>*</w:t>
      </w:r>
    </w:p>
    <w:tbl>
      <w:tblPr>
        <w:tblStyle w:val="Reetkatablice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A54EB4" w:rsidRDefault="00540C3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F2C53">
              <w:rPr>
                <w:rFonts w:ascii="Times New Roman" w:hAnsi="Times New Roman" w:cs="Times New Roman"/>
                <w:b/>
                <w:w w:val="99"/>
                <w:sz w:val="18"/>
              </w:rPr>
              <w:t>ENEOLITIK BLISKOG ISTOKA I JUGOISTOČNE EUROPE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9B138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9B1389">
              <w:rPr>
                <w:rFonts w:ascii="Times New Roman" w:hAnsi="Times New Roman" w:cs="Times New Roman"/>
                <w:sz w:val="20"/>
              </w:rPr>
              <w:t>20./2021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A54EB4" w:rsidRDefault="00540C3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F2C53">
              <w:rPr>
                <w:rFonts w:ascii="Times New Roman" w:hAnsi="Times New Roman" w:cs="Times New Roman"/>
                <w:sz w:val="18"/>
              </w:rPr>
              <w:t>PREDDIPLOMSKI SVEUČILIŠNI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540C3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FC4C3D" w:rsidP="006030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60308F">
                  <w:rPr>
                    <w:rFonts w:ascii="MS Gothic" w:eastAsia="MS Gothic" w:hAnsi="MS Gothic" w:cs="Times New Roman"/>
                    <w:sz w:val="18"/>
                    <w:szCs w:val="18"/>
                  </w:rPr>
                  <w:t>x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FC4C3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FC4C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60308F">
                  <w:rPr>
                    <w:rFonts w:ascii="MS Mincho" w:eastAsia="MS Mincho" w:hAnsi="MS Mincho" w:cs="MS Mincho"/>
                    <w:sz w:val="18"/>
                    <w:szCs w:val="20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FC4C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FC4C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FC4C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FC4C3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FC4C3D" w:rsidP="006030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:showingPlcHdr/>
              </w:sdtPr>
              <w:sdtContent/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FC4C3D" w:rsidP="006030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60308F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FC4C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FC4C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FC4C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FC4C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r w:rsidR="0060308F">
                  <w:rPr>
                    <w:rFonts w:ascii="MS Mincho" w:eastAsia="MS Mincho" w:hAnsi="MS Mincho" w:cs="MS Mincho"/>
                    <w:sz w:val="18"/>
                    <w:szCs w:val="20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FC4C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C4C3D" w:rsidP="006030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:showingPlcHdr/>
              </w:sdtPr>
              <w:sdtContent/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C4C3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C4C3D" w:rsidP="006030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60308F">
                  <w:rPr>
                    <w:rFonts w:ascii="MS Mincho" w:eastAsia="MS Mincho" w:hAnsi="MS Mincho" w:cs="MS Mincho"/>
                    <w:sz w:val="18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C4C3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C4C3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C4C3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C4C3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C4C3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C4C3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C4C3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FC4C3D" w:rsidP="006030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60308F">
                  <w:rPr>
                    <w:rFonts w:ascii="MS Mincho" w:eastAsia="MS Mincho" w:hAnsi="MS Mincho" w:cs="MS Mincho"/>
                    <w:sz w:val="18"/>
                    <w:szCs w:val="20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C4C3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FC4C3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C4C3D" w:rsidP="006030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60308F">
                  <w:rPr>
                    <w:rFonts w:ascii="MS Gothic" w:eastAsia="MS Gothic" w:hAnsi="MS Gothic" w:cs="Times New Roman"/>
                    <w:sz w:val="18"/>
                    <w:szCs w:val="20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C4C3D" w:rsidP="006030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r w:rsidR="0060308F">
                  <w:rPr>
                    <w:rFonts w:ascii="MS Gothic" w:eastAsia="MS Gothic" w:hAnsi="MS Gothic" w:cs="Times New Roman"/>
                    <w:sz w:val="18"/>
                    <w:szCs w:val="20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A54EB4" w:rsidRDefault="0060308F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A54EB4">
              <w:rPr>
                <w:rFonts w:ascii="Times New Roman" w:hAnsi="Times New Roman" w:cs="Times New Roman"/>
                <w:sz w:val="20"/>
              </w:rPr>
              <w:t>četvrtak, 9,00-12,00h</w:t>
            </w:r>
          </w:p>
          <w:p w:rsidR="0060308F" w:rsidRDefault="0060308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4EB4">
              <w:rPr>
                <w:rFonts w:ascii="Times New Roman" w:hAnsi="Times New Roman" w:cs="Times New Roman"/>
                <w:sz w:val="20"/>
              </w:rPr>
              <w:t>učiona 101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0308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B1389" w:rsidP="009B138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  <w:r w:rsidR="0060308F">
              <w:rPr>
                <w:rFonts w:ascii="Times New Roman" w:hAnsi="Times New Roman" w:cs="Times New Roman"/>
                <w:sz w:val="18"/>
              </w:rPr>
              <w:t>. 10. 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60308F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77499" w:rsidP="006030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21. 1. 2021</w:t>
            </w:r>
            <w:r w:rsidR="0060308F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A54E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54EB4">
              <w:rPr>
                <w:rFonts w:ascii="Times New Roman" w:eastAsia="Arial" w:hAnsi="Times New Roman" w:cs="Times New Roman"/>
                <w:sz w:val="18"/>
                <w:szCs w:val="18"/>
              </w:rPr>
              <w:t>Upisan III. semestar preddiplomskog studija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A54EB4" w:rsidRDefault="0060308F" w:rsidP="006030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54EB4">
              <w:rPr>
                <w:rFonts w:ascii="Times New Roman" w:hAnsi="Times New Roman" w:cs="Times New Roman"/>
                <w:sz w:val="18"/>
              </w:rPr>
              <w:t>Izv. prof. dr. sc. Dario Vujević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0308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0308F">
              <w:rPr>
                <w:rFonts w:ascii="Times New Roman" w:hAnsi="Times New Roman" w:cs="Times New Roman"/>
                <w:sz w:val="18"/>
              </w:rPr>
              <w:t>dario.vujevic@gmail.com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0308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16,00-17,00h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A54EB4" w:rsidRDefault="0060308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54EB4">
              <w:rPr>
                <w:rFonts w:ascii="Times New Roman" w:hAnsi="Times New Roman" w:cs="Times New Roman"/>
                <w:sz w:val="20"/>
              </w:rPr>
              <w:t xml:space="preserve"> dr. sc. Kristina Horvat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0308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k.horvat.zd@gmail.com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0308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10,00-12,00h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C4C3D" w:rsidP="00B34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r w:rsidR="00B34A71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C4C3D" w:rsidP="00B34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r w:rsidR="00B34A71">
                  <w:rPr>
                    <w:rFonts w:ascii="MS Mincho" w:eastAsia="MS Mincho" w:hAnsi="MS Mincho" w:cs="MS Mincho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C4C3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C4C3D" w:rsidP="00B34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r w:rsidR="00B34A71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r w:rsidR="00B34A71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B34A71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r w:rsidR="00B34A71">
                  <w:rPr>
                    <w:rFonts w:ascii="MS Gothic" w:eastAsia="MS Gothic" w:hAnsi="MS Gothic" w:cs="Times New Roman" w:hint="eastAsia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A54EB4" w:rsidRDefault="00A54EB4" w:rsidP="00A54EB4">
            <w:pPr>
              <w:spacing w:line="264" w:lineRule="auto"/>
              <w:ind w:left="102" w:right="7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54EB4">
              <w:rPr>
                <w:rFonts w:ascii="Times New Roman" w:eastAsia="Arial" w:hAnsi="Times New Roman" w:cs="Times New Roman"/>
                <w:sz w:val="18"/>
                <w:szCs w:val="18"/>
              </w:rPr>
              <w:t>Upisan III. semestar preddiplomskog studija; redovito pohađanje nastave (student je dužan prisustvovati na 75% nastavnih sati (predavanja i seminari))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izložen seminarski rad.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FC4C3D" w:rsidP="00A54E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r w:rsidR="00A54EB4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FC4C3D" w:rsidP="00A54E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r w:rsidR="00A54EB4">
                  <w:rPr>
                    <w:rFonts w:ascii="MS Mincho" w:eastAsia="MS Mincho" w:hAnsi="MS Mincho" w:cs="MS Mincho"/>
                    <w:sz w:val="18"/>
                  </w:rPr>
                  <w:t xml:space="preserve">x 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Kolegij donosi opći pregled eneolitika kao pos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ebnog razdoblja prapovijesti, s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obzirom na posebnosti u njegovom sadržaju 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arheološkoj građi prema drugim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prapovijesnim razdobljima, kroz sljedeće tematske cjeline: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I. tematska cjelina: pojam i sadržaj eneolitika,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periodizacijom, kronologijom i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teritorijalno-kulturnom podjelom;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ab/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ab/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II. tematska cjelina: pregled razvoja rudarstva, pr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erade bakra i upotrebe bakrenih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predmeta s tipologijom bakrenih predmeta;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III. tematska cjelina: Indoeuropljani, arheološki asp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ekti procesa indoeuropeizacije,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 xml:space="preserve">pregled  indoeuropskih  pojava  u  materijalnoj  i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duhovnoj  kulturi  eneolitičkih zajednica; </w:t>
            </w:r>
          </w:p>
          <w:p w:rsid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 xml:space="preserve">IV. tematska cjelina: pregled eneolitičkih </w:t>
            </w:r>
            <w:r>
              <w:rPr>
                <w:rFonts w:ascii="Times New Roman" w:eastAsia="MS Gothic" w:hAnsi="Times New Roman" w:cs="Times New Roman"/>
                <w:sz w:val="18"/>
              </w:rPr>
              <w:t>kultura na panonsko-podunavskom području;</w:t>
            </w:r>
            <w:r>
              <w:rPr>
                <w:rFonts w:ascii="Times New Roman" w:eastAsia="MS Gothic" w:hAnsi="Times New Roman" w:cs="Times New Roman"/>
                <w:sz w:val="18"/>
              </w:rPr>
              <w:tab/>
            </w:r>
            <w:r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9A284F" w:rsidRPr="009947BA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V. tematska cjelina: pregled eneolitički</w:t>
            </w:r>
            <w:r>
              <w:rPr>
                <w:rFonts w:ascii="Times New Roman" w:eastAsia="MS Gothic" w:hAnsi="Times New Roman" w:cs="Times New Roman"/>
                <w:sz w:val="18"/>
              </w:rPr>
              <w:t>h kultura u jugoistočnoj Europi.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F2C53" w:rsidRPr="001F2C53" w:rsidRDefault="009A284F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1F2C53" w:rsidRPr="001F2C53">
              <w:rPr>
                <w:rFonts w:ascii="Times New Roman" w:eastAsia="MS Gothic" w:hAnsi="Times New Roman" w:cs="Times New Roman"/>
                <w:sz w:val="18"/>
              </w:rPr>
              <w:t>ENEOLITIK – uvod u razdoblje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termini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periodizacija</w:t>
            </w:r>
          </w:p>
          <w:p w:rsidR="009A284F" w:rsidRPr="009947BA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kronologija</w:t>
            </w:r>
          </w:p>
          <w:p w:rsidR="001F2C53" w:rsidRPr="001F2C53" w:rsidRDefault="009A284F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1F2C53" w:rsidRPr="001F2C53">
              <w:rPr>
                <w:rFonts w:ascii="Times New Roman" w:eastAsia="MS Gothic" w:hAnsi="Times New Roman" w:cs="Times New Roman"/>
                <w:sz w:val="18"/>
              </w:rPr>
              <w:t>ENEOLITIK – uvod u razdoblje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opće odlike eneolitika: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proces dezintegriranja neolitičkih i formiranja eneolitičkih kultura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promjene u privredi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razvoj rudarstva i prerade bakra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pro</w:t>
            </w:r>
            <w:r>
              <w:rPr>
                <w:rFonts w:ascii="Times New Roman" w:eastAsia="MS Gothic" w:hAnsi="Times New Roman" w:cs="Times New Roman"/>
                <w:sz w:val="18"/>
              </w:rPr>
              <w:t>mjene u društvenoj organizaciji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proces indoeuropeizacije i promjene u demografskoj strukturi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promjene u naseobinskim aspektima eneolitičkih zajednica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promjene u duhovnoj kulturi (pokapanje, antropomorfna plastika)</w:t>
            </w:r>
          </w:p>
          <w:p w:rsidR="009A284F" w:rsidRPr="009947BA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razvoj novih keramičkih tipova i stilova ukrašavanja</w:t>
            </w:r>
          </w:p>
          <w:p w:rsidR="001F2C53" w:rsidRPr="001F2C53" w:rsidRDefault="009A284F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1F2C53" w:rsidRPr="001F2C53">
              <w:rPr>
                <w:rFonts w:ascii="Times New Roman" w:eastAsia="MS Gothic" w:hAnsi="Times New Roman" w:cs="Times New Roman"/>
                <w:sz w:val="18"/>
              </w:rPr>
              <w:t>POVIJEST PROCESA METALIZACIJE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– početci rudarstva i uporabe bakra u jugoistočnoj Europi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– podrijetlo primarne industrije bakra u jugoistočnoj Europi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– uloga samorodnog bakra</w:t>
            </w:r>
          </w:p>
          <w:p w:rsidR="009A284F" w:rsidRPr="009947BA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– najraniji nalazi i klasifikacija bakrenih artefakata u jugoistočnoj Europi</w:t>
            </w:r>
          </w:p>
          <w:p w:rsidR="001F2C53" w:rsidRPr="001F2C53" w:rsidRDefault="009A284F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1F2C53" w:rsidRPr="001F2C53">
              <w:rPr>
                <w:rFonts w:ascii="Times New Roman" w:eastAsia="MS Gothic" w:hAnsi="Times New Roman" w:cs="Times New Roman"/>
                <w:sz w:val="18"/>
              </w:rPr>
              <w:t>POVIJEST PROCESA METALIZACIJE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razvoj metalurških postupaka prerade bakra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serijska proizvodnja bakrenih artefakata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metalurška postrojenja i pribor za lijevanje</w:t>
            </w:r>
          </w:p>
          <w:p w:rsidR="009A284F" w:rsidRPr="009947BA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tipološki razvoj i relativna kronologija masivnih bakrenih artefakata</w:t>
            </w:r>
          </w:p>
          <w:p w:rsidR="001F2C53" w:rsidRPr="001F2C53" w:rsidRDefault="009A284F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1F2C53" w:rsidRPr="001F2C53">
              <w:rPr>
                <w:rFonts w:ascii="Times New Roman" w:eastAsia="MS Gothic" w:hAnsi="Times New Roman" w:cs="Times New Roman"/>
                <w:sz w:val="18"/>
              </w:rPr>
              <w:t>POSLJEDICE PROCESA METALIZACIJE – arheološki podatci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ekonomski aspekti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 sociološki aspekti</w:t>
            </w:r>
          </w:p>
          <w:p w:rsidR="009A284F" w:rsidRPr="009947BA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kulturološki aspekti</w:t>
            </w:r>
          </w:p>
          <w:p w:rsidR="001F2C53" w:rsidRPr="001F2C53" w:rsidRDefault="009A284F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1F2C53" w:rsidRPr="001F2C53">
              <w:rPr>
                <w:rFonts w:ascii="Times New Roman" w:eastAsia="MS Gothic" w:hAnsi="Times New Roman" w:cs="Times New Roman"/>
                <w:sz w:val="18"/>
              </w:rPr>
              <w:t>INDOEUROPLJANI – jezični aspekti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povijest ideje</w:t>
            </w:r>
          </w:p>
          <w:p w:rsidR="009A284F" w:rsidRPr="009947BA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komparativna lingvistika- povijest istraživanja</w:t>
            </w:r>
          </w:p>
          <w:p w:rsidR="001F2C53" w:rsidRPr="001F2C53" w:rsidRDefault="009A284F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1F2C53" w:rsidRPr="001F2C53">
              <w:rPr>
                <w:rFonts w:ascii="Times New Roman" w:eastAsia="MS Gothic" w:hAnsi="Times New Roman" w:cs="Times New Roman"/>
                <w:sz w:val="18"/>
              </w:rPr>
              <w:t>INDOEUROPLJANI – jezični aspekti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podjela indoeuropskih jezika (Satem i Centum)</w:t>
            </w:r>
          </w:p>
          <w:p w:rsidR="009A284F" w:rsidRPr="009947BA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stratifikacija indoeuropskih jezika</w:t>
            </w:r>
          </w:p>
          <w:p w:rsidR="001F2C53" w:rsidRPr="001F2C53" w:rsidRDefault="009A284F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1F2C53" w:rsidRPr="001F2C53">
              <w:rPr>
                <w:rFonts w:ascii="Times New Roman" w:eastAsia="MS Gothic" w:hAnsi="Times New Roman" w:cs="Times New Roman"/>
                <w:sz w:val="18"/>
              </w:rPr>
              <w:t>INDOEUROPLJANI – jezični aspekti - teorije o pradomovini Indoeuropljana: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teorija paleolitičkog kontinuiteta (PaleolithicContinuityTheory)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teorija ko</w:t>
            </w:r>
            <w:r>
              <w:rPr>
                <w:rFonts w:ascii="Times New Roman" w:eastAsia="MS Gothic" w:hAnsi="Times New Roman" w:cs="Times New Roman"/>
                <w:sz w:val="18"/>
              </w:rPr>
              <w:t>ntinuiteta ( ContinuityTheory)</w:t>
            </w:r>
          </w:p>
          <w:p w:rsidR="009A284F" w:rsidRPr="009947BA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teorija o armenskom podrijetlu (Armenianhypothesis)</w:t>
            </w:r>
          </w:p>
          <w:p w:rsidR="001F2C53" w:rsidRPr="001F2C53" w:rsidRDefault="009A284F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1F2C53" w:rsidRPr="001F2C53">
              <w:rPr>
                <w:rFonts w:ascii="Times New Roman" w:eastAsia="MS Gothic" w:hAnsi="Times New Roman" w:cs="Times New Roman"/>
                <w:sz w:val="18"/>
              </w:rPr>
              <w:t>INDOEUROPLJANI – jezični aspekti - teorije o pradomovini Indoeuropljana: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teorije o pradomovini Indoeuropljana: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teorija o anatolskom podrijetlu (Anatolianhypothesis)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kurgan teorija (Kurgan hypothesis)</w:t>
            </w:r>
          </w:p>
          <w:p w:rsidR="009A284F" w:rsidRPr="009947BA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druge teorije</w:t>
            </w:r>
          </w:p>
          <w:p w:rsidR="001F2C53" w:rsidRPr="001F2C53" w:rsidRDefault="009A284F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1F2C53" w:rsidRPr="001F2C53">
              <w:rPr>
                <w:rFonts w:ascii="Times New Roman" w:eastAsia="MS Gothic" w:hAnsi="Times New Roman" w:cs="Times New Roman"/>
                <w:sz w:val="18"/>
              </w:rPr>
              <w:t>INDOEUROPLJANI – arheološki aspekti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naselja i društvo</w:t>
            </w:r>
          </w:p>
          <w:p w:rsidR="009A284F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privreda i način života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nekropole i način pokapanja</w:t>
            </w:r>
          </w:p>
          <w:p w:rsidR="001F2C53" w:rsidRPr="009947BA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matrijalna kultura</w:t>
            </w:r>
          </w:p>
          <w:p w:rsidR="001F2C53" w:rsidRPr="001F2C53" w:rsidRDefault="009A284F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11. </w:t>
            </w:r>
            <w:r w:rsidR="001F2C53" w:rsidRPr="001F2C53">
              <w:rPr>
                <w:rFonts w:ascii="Times New Roman" w:eastAsia="MS Gothic" w:hAnsi="Times New Roman" w:cs="Times New Roman"/>
                <w:sz w:val="18"/>
              </w:rPr>
              <w:t>INDOEUROPSKE KULTURE – arheološki aspekti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kultura Seroglazovo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kultura Samara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kultura Hvalinsk</w:t>
            </w:r>
          </w:p>
          <w:p w:rsidR="009A284F" w:rsidRPr="009947BA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Jamna kultura</w:t>
            </w:r>
          </w:p>
          <w:p w:rsidR="001F2C53" w:rsidRPr="001F2C53" w:rsidRDefault="009A284F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1F2C53" w:rsidRPr="001F2C53">
              <w:rPr>
                <w:rFonts w:ascii="Times New Roman" w:eastAsia="MS Gothic" w:hAnsi="Times New Roman" w:cs="Times New Roman"/>
                <w:sz w:val="18"/>
              </w:rPr>
              <w:t>INDOEUROPSKA EKSPANZIJA U JUGOISTOČNU EUROPU – arheološke potvrde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Decea</w:t>
            </w:r>
            <w:r w:rsidR="00D774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Muresului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kultura Gorodsk-Usatovo</w:t>
            </w:r>
          </w:p>
          <w:p w:rsidR="009A284F" w:rsidRPr="009947BA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kultura Horodistea-Foltesti</w:t>
            </w:r>
          </w:p>
          <w:p w:rsidR="001F2C53" w:rsidRPr="001F2C53" w:rsidRDefault="009A284F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1F2C53" w:rsidRPr="001F2C53">
              <w:rPr>
                <w:rFonts w:ascii="Times New Roman" w:eastAsia="MS Gothic" w:hAnsi="Times New Roman" w:cs="Times New Roman"/>
                <w:sz w:val="18"/>
              </w:rPr>
              <w:t>INDOEUROPSKA EKSPANZIJA U JUGOISTOČNU EUROPU – arheološke potvrde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Cernavoda kultura</w:t>
            </w:r>
          </w:p>
          <w:p w:rsidR="009A284F" w:rsidRPr="009947BA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druge pojave indoeuropskog karaktera</w:t>
            </w:r>
          </w:p>
          <w:p w:rsidR="001F2C53" w:rsidRPr="001F2C53" w:rsidRDefault="009A284F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1F2C53" w:rsidRPr="001F2C53">
              <w:rPr>
                <w:rFonts w:ascii="Times New Roman" w:eastAsia="MS Gothic" w:hAnsi="Times New Roman" w:cs="Times New Roman"/>
                <w:sz w:val="18"/>
              </w:rPr>
              <w:t>ENEOLITIK – povijesna interpretacija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društvo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privreda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1F2C53" w:rsidRPr="001F2C53">
              <w:rPr>
                <w:rFonts w:ascii="Times New Roman" w:eastAsia="MS Gothic" w:hAnsi="Times New Roman" w:cs="Times New Roman"/>
                <w:sz w:val="18"/>
              </w:rPr>
              <w:t>ENEOLITIK – povijesna interpretacija</w:t>
            </w:r>
          </w:p>
          <w:p w:rsidR="001F2C53" w:rsidRDefault="001F2C5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- religija</w:t>
            </w:r>
          </w:p>
          <w:p w:rsidR="001F2C53" w:rsidRDefault="001F2C5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D7749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SEMINARI:</w:t>
            </w:r>
          </w:p>
          <w:p w:rsidR="00D77499" w:rsidRDefault="00D77499" w:rsidP="00D77499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Halkollitik Anatolije</w:t>
            </w:r>
          </w:p>
          <w:p w:rsidR="00D77499" w:rsidRDefault="00D77499" w:rsidP="00D77499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Kultura Cucuteni-Tripolie</w:t>
            </w:r>
          </w:p>
          <w:p w:rsidR="00D77499" w:rsidRDefault="00D77499" w:rsidP="00D77499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Kultura Gumelnita-KOdžaderman-Karanovo VI</w:t>
            </w:r>
          </w:p>
          <w:p w:rsidR="00D77499" w:rsidRDefault="00D77499" w:rsidP="00D77499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Salcuta-Krivodol-Bubanj-Huma kultura</w:t>
            </w:r>
          </w:p>
          <w:p w:rsidR="00D77499" w:rsidRDefault="00D77499" w:rsidP="00D77499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Varna kultura</w:t>
            </w:r>
          </w:p>
          <w:p w:rsidR="00D77499" w:rsidRDefault="00D77499" w:rsidP="00D77499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Tisapolgar, Bodrokerestur i Vajskahunyadihalom kultura</w:t>
            </w:r>
          </w:p>
          <w:p w:rsidR="00D77499" w:rsidRDefault="00D77499" w:rsidP="00D77499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Lasinjska kulura</w:t>
            </w:r>
          </w:p>
          <w:p w:rsidR="00D77499" w:rsidRDefault="00D77499" w:rsidP="00D77499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Retz-gajary i </w:t>
            </w:r>
            <w:r w:rsidRPr="00D77499">
              <w:rPr>
                <w:rFonts w:ascii="Times New Roman" w:eastAsia="MS Gothic" w:hAnsi="Times New Roman" w:cs="Times New Roman"/>
                <w:i/>
                <w:sz w:val="18"/>
              </w:rPr>
              <w:t>Cotofeni kultura</w:t>
            </w:r>
          </w:p>
          <w:p w:rsidR="00D77499" w:rsidRDefault="00D77499" w:rsidP="00D77499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Badenska kultura</w:t>
            </w:r>
          </w:p>
          <w:p w:rsidR="00D77499" w:rsidRDefault="00D77499" w:rsidP="00D77499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Kostolačka kultura</w:t>
            </w:r>
          </w:p>
          <w:p w:rsidR="00D77499" w:rsidRDefault="00D77499" w:rsidP="00D77499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Vučedolska kultura</w:t>
            </w:r>
          </w:p>
          <w:p w:rsidR="00D77499" w:rsidRPr="00D77499" w:rsidRDefault="00D77499" w:rsidP="00D77499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Eneolitik na području istočnog Jadrana</w:t>
            </w:r>
          </w:p>
          <w:p w:rsidR="00D77499" w:rsidRPr="00D77499" w:rsidRDefault="00D77499" w:rsidP="00D77499">
            <w:pPr>
              <w:pStyle w:val="Odlomakpopisa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B. Marijanović, Ravlića pećina, Mostar, 2012.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B. Marijanović, Eneolitik i eneolitičke kulture u Bosni i Hercegovini, Mostar, 2003.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Grupa autora, Praistorija jugoslavenskih zemalja, III (Eneolit), Sarajevo 1979.</w:t>
            </w:r>
          </w:p>
          <w:p w:rsidR="009A284F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D. W. Anthony, TheHorse, the Wheel, andLanguage: HowBronze-Age RidersfromtheEurasianSteppesShapedtheModern World, PrincetonUniversityPress, 2007.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A. Durman, Metalurgija vučedolsko</w:t>
            </w:r>
            <w:r>
              <w:rPr>
                <w:rFonts w:ascii="Times New Roman" w:eastAsia="MS Gothic" w:hAnsi="Times New Roman" w:cs="Times New Roman"/>
                <w:sz w:val="18"/>
              </w:rPr>
              <w:t>g kulturnog kompleksa, Opuscula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Archaeologica 7, Zagreb, 1983.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A. Durman, Metal u vučedolskom kulturnom kompleksu, Vučedol, Zagreb, 1988.</w:t>
            </w:r>
          </w:p>
          <w:p w:rsidR="001F2C53" w:rsidRPr="009947BA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James P. Mallory, Indoeuropljani – zagonetka njih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ova podrijetla, Školska knjiga,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Zagreb, 2006.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H. Müller-Karpe, Handbuch der Vorgeschichte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Band II &amp; III, München, 1974.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Atlas duNeolithiqueeuropeen, Liege,1993.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M. Gimbutas, The Kurgan Culture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and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the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Indo-Eur</w:t>
            </w:r>
            <w:r>
              <w:rPr>
                <w:rFonts w:ascii="Times New Roman" w:eastAsia="MS Gothic" w:hAnsi="Times New Roman" w:cs="Times New Roman"/>
                <w:sz w:val="18"/>
              </w:rPr>
              <w:t>opeization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of Europe, </w:t>
            </w:r>
            <w:r>
              <w:rPr>
                <w:rFonts w:ascii="Times New Roman" w:eastAsia="MS Gothic" w:hAnsi="Times New Roman" w:cs="Times New Roman"/>
                <w:sz w:val="18"/>
              </w:rPr>
              <w:t>Edited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by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Miriam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Robbins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Dexter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and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KarleneJones-Bley. J</w:t>
            </w:r>
            <w:r>
              <w:rPr>
                <w:rFonts w:ascii="Times New Roman" w:eastAsia="MS Gothic" w:hAnsi="Times New Roman" w:cs="Times New Roman"/>
                <w:sz w:val="18"/>
              </w:rPr>
              <w:t>ournal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of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Indo-European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Studies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Monograph no. 18. Washington, D.C. Institute for the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Study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of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Man,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1997.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N. Tasić, Eneolithic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cultures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of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central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and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west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Balkans, Beograd, 1995.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D. Šljivar, The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earliest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copper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metallurgy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in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the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central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Balkans, JOURNAL OF METALLURGY, 2006.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K. Rassmann et al., High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precision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Tripolye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settlement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plans, demographic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estimations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and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settlement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organization, Journal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of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Neolithic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 xml:space="preserve">Archaeology, 2014. </w:t>
            </w:r>
          </w:p>
          <w:p w:rsidR="009A284F" w:rsidRPr="009947BA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I. Bognar-Kutzian, The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Early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Copper Age, Tiszapol</w:t>
            </w:r>
            <w:r>
              <w:rPr>
                <w:rFonts w:ascii="Times New Roman" w:eastAsia="MS Gothic" w:hAnsi="Times New Roman" w:cs="Times New Roman"/>
                <w:sz w:val="18"/>
              </w:rPr>
              <w:t>gar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Culture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in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Carpatian</w:t>
            </w:r>
            <w:r w:rsidR="00FC25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Basin, </w:t>
            </w:r>
            <w:r w:rsidRPr="001F2C53">
              <w:rPr>
                <w:rFonts w:ascii="Times New Roman" w:eastAsia="MS Gothic" w:hAnsi="Times New Roman" w:cs="Times New Roman"/>
                <w:sz w:val="18"/>
              </w:rPr>
              <w:t>Budapest, 1972.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>https://hrcak.srce.hr</w:t>
            </w:r>
          </w:p>
          <w:p w:rsidR="001F2C53" w:rsidRPr="001F2C53" w:rsidRDefault="001F2C53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2C53">
              <w:rPr>
                <w:rFonts w:ascii="Times New Roman" w:eastAsia="MS Gothic" w:hAnsi="Times New Roman" w:cs="Times New Roman"/>
                <w:sz w:val="18"/>
              </w:rPr>
              <w:t xml:space="preserve">www.academia.edu </w:t>
            </w:r>
          </w:p>
          <w:p w:rsidR="009A284F" w:rsidRPr="009947BA" w:rsidRDefault="00FC4C3D" w:rsidP="001F2C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8" w:history="1">
              <w:r w:rsidR="001F2C53" w:rsidRPr="00B84274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https://revije.ff.uni-lj.si/DocumentaPraehistorica</w:t>
              </w:r>
            </w:hyperlink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FC4C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FC4C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FC4C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1F2C53">
                  <w:rPr>
                    <w:rFonts w:ascii="MS Gothic" w:eastAsia="MS Gothic" w:hAnsi="MS Gothic" w:cs="Times New Roman" w:hint="eastAsia"/>
                    <w:sz w:val="18"/>
                  </w:rPr>
                  <w:t xml:space="preserve">x 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FC4C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FC4C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samo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FC4C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FC4C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r w:rsidR="004439EF">
                  <w:rPr>
                    <w:rFonts w:ascii="Times New Roman" w:hAnsi="Times New Roman" w:cs="Times New Roman"/>
                    <w:sz w:val="18"/>
                  </w:rPr>
                  <w:t>x</w:t>
                </w:r>
              </w:sdtContent>
            </w:sdt>
            <w:r w:rsidR="004439E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s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FC4C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FC4C3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184" w:type="dxa"/>
            <w:vAlign w:val="center"/>
          </w:tcPr>
          <w:p w:rsidR="009A284F" w:rsidRPr="00C02454" w:rsidRDefault="00FC4C3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drugi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FC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slučaju težih povredaprimjenjuje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  <w:bookmarkStart w:id="0" w:name="_GoBack"/>
            <w:bookmarkEnd w:id="0"/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studentimapotrebni AAI računi.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740BF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020" w:rsidRDefault="00787020" w:rsidP="009947BA">
      <w:pPr>
        <w:spacing w:before="0" w:after="0"/>
      </w:pPr>
      <w:r>
        <w:separator/>
      </w:r>
    </w:p>
  </w:endnote>
  <w:endnote w:type="continuationSeparator" w:id="1">
    <w:p w:rsidR="00787020" w:rsidRDefault="0078702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020" w:rsidRDefault="00787020" w:rsidP="009947BA">
      <w:pPr>
        <w:spacing w:before="0" w:after="0"/>
      </w:pPr>
      <w:r>
        <w:separator/>
      </w:r>
    </w:p>
  </w:footnote>
  <w:footnote w:type="continuationSeparator" w:id="1">
    <w:p w:rsidR="00787020" w:rsidRDefault="00787020" w:rsidP="009947BA">
      <w:pPr>
        <w:spacing w:before="0" w:after="0"/>
      </w:pPr>
      <w:r>
        <w:continuationSeparator/>
      </w:r>
    </w:p>
  </w:footnote>
  <w:footnote w:id="2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FC4C3D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 w:rsidRPr="00FC4C3D">
      <w:rPr>
        <w:rFonts w:ascii="Georgia" w:hAnsi="Georgia"/>
        <w:b w:val="0"/>
        <w:bCs w:val="0"/>
        <w:noProof/>
        <w:sz w:val="22"/>
        <w:lang w:val="en-US" w:eastAsia="en-US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C22"/>
    <w:multiLevelType w:val="hybridMultilevel"/>
    <w:tmpl w:val="AE94D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1F2C53"/>
    <w:rsid w:val="0022722C"/>
    <w:rsid w:val="0028545A"/>
    <w:rsid w:val="002A1CB4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23835"/>
    <w:rsid w:val="004439EF"/>
    <w:rsid w:val="00453362"/>
    <w:rsid w:val="00461219"/>
    <w:rsid w:val="00470F6D"/>
    <w:rsid w:val="00483BC3"/>
    <w:rsid w:val="004923F4"/>
    <w:rsid w:val="004B553E"/>
    <w:rsid w:val="005353ED"/>
    <w:rsid w:val="00540C34"/>
    <w:rsid w:val="005514C3"/>
    <w:rsid w:val="005D3518"/>
    <w:rsid w:val="005E1668"/>
    <w:rsid w:val="005F6E0B"/>
    <w:rsid w:val="0060308F"/>
    <w:rsid w:val="0062328F"/>
    <w:rsid w:val="00684BBC"/>
    <w:rsid w:val="006B4920"/>
    <w:rsid w:val="00700D7A"/>
    <w:rsid w:val="007361E7"/>
    <w:rsid w:val="007368EB"/>
    <w:rsid w:val="00740BFC"/>
    <w:rsid w:val="0078125F"/>
    <w:rsid w:val="00785CAA"/>
    <w:rsid w:val="00787020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B1389"/>
    <w:rsid w:val="009C56B1"/>
    <w:rsid w:val="009D5226"/>
    <w:rsid w:val="009E2FD4"/>
    <w:rsid w:val="00A54EB4"/>
    <w:rsid w:val="00A9132B"/>
    <w:rsid w:val="00AA1A5A"/>
    <w:rsid w:val="00AD23FB"/>
    <w:rsid w:val="00B34A71"/>
    <w:rsid w:val="00B4202A"/>
    <w:rsid w:val="00B612F8"/>
    <w:rsid w:val="00B71A57"/>
    <w:rsid w:val="00B7307A"/>
    <w:rsid w:val="00C02454"/>
    <w:rsid w:val="00C3477B"/>
    <w:rsid w:val="00C85956"/>
    <w:rsid w:val="00C92F5C"/>
    <w:rsid w:val="00C9733D"/>
    <w:rsid w:val="00CA3783"/>
    <w:rsid w:val="00CB23F4"/>
    <w:rsid w:val="00CF5EFB"/>
    <w:rsid w:val="00D136E4"/>
    <w:rsid w:val="00D5334D"/>
    <w:rsid w:val="00D5523D"/>
    <w:rsid w:val="00D77499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59F"/>
    <w:rsid w:val="00FC283E"/>
    <w:rsid w:val="00FC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FC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je.ff.uni-lj.si/DocumentaPraehistoric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B07E-8A37-4C29-A137-3BC9F665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6</cp:revision>
  <dcterms:created xsi:type="dcterms:W3CDTF">2019-09-27T09:37:00Z</dcterms:created>
  <dcterms:modified xsi:type="dcterms:W3CDTF">2020-11-04T21:03:00Z</dcterms:modified>
</cp:coreProperties>
</file>