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6B996A87" w:rsidR="006E0223" w:rsidRPr="006E0223" w:rsidRDefault="00042E01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LEXICOLOGIE ET LEXICOGRAPHIE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77989DEC" w:rsidR="006E0223" w:rsidRPr="00042E01" w:rsidRDefault="00042E01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III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067E39FD" w:rsidR="006E0223" w:rsidRPr="006E0223" w:rsidRDefault="00042E01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(2x45 min)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7300FBF1" w:rsidR="00C75A7B" w:rsidRPr="00AE778C" w:rsidRDefault="00640F89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Appropriation de la problématique de la complexité du lexique au niveau morphologique, sémantique et phraséologique avec les éléments de la </w:t>
            </w:r>
            <w:proofErr w:type="spellStart"/>
            <w:r>
              <w:rPr>
                <w:rFonts w:ascii="Arial" w:eastAsiaTheme="minorEastAsia" w:hAnsi="Arial" w:cs="Arial"/>
                <w:bCs/>
                <w:kern w:val="24"/>
              </w:rPr>
              <w:t>phraséodidactique</w:t>
            </w:r>
            <w:proofErr w:type="spellEnd"/>
            <w:r>
              <w:rPr>
                <w:rFonts w:ascii="Arial" w:eastAsiaTheme="minorEastAsia" w:hAnsi="Arial" w:cs="Arial"/>
                <w:bCs/>
                <w:kern w:val="24"/>
              </w:rPr>
              <w:t xml:space="preserve"> et </w:t>
            </w:r>
            <w:proofErr w:type="spellStart"/>
            <w:r>
              <w:rPr>
                <w:rFonts w:ascii="Arial" w:eastAsiaTheme="minorEastAsia" w:hAnsi="Arial" w:cs="Arial"/>
                <w:bCs/>
                <w:kern w:val="24"/>
              </w:rPr>
              <w:t>praséotraductologie</w:t>
            </w:r>
            <w:proofErr w:type="spellEnd"/>
            <w:r w:rsidR="0054627C">
              <w:rPr>
                <w:rFonts w:ascii="Arial" w:eastAsiaTheme="minorEastAsia" w:hAnsi="Arial" w:cs="Arial"/>
                <w:bCs/>
                <w:kern w:val="24"/>
              </w:rPr>
              <w:t>.</w:t>
            </w:r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5DEB62A6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2DEEE9C4" w14:textId="60992915" w:rsidR="00AE778C" w:rsidRPr="00AE778C" w:rsidRDefault="00AE778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AE778C">
              <w:rPr>
                <w:rFonts w:ascii="Arial" w:eastAsiaTheme="minorEastAsia" w:hAnsi="Arial" w:cs="Arial"/>
                <w:bCs/>
                <w:kern w:val="24"/>
              </w:rPr>
              <w:t xml:space="preserve">Identification </w:t>
            </w:r>
            <w:r w:rsidR="00640F89">
              <w:rPr>
                <w:rFonts w:ascii="Arial" w:eastAsiaTheme="minorEastAsia" w:hAnsi="Arial" w:cs="Arial"/>
                <w:bCs/>
                <w:kern w:val="24"/>
              </w:rPr>
              <w:t xml:space="preserve">et analyse </w:t>
            </w:r>
            <w:r w:rsidRPr="00AE778C">
              <w:rPr>
                <w:rFonts w:ascii="Arial" w:eastAsiaTheme="minorEastAsia" w:hAnsi="Arial" w:cs="Arial"/>
                <w:bCs/>
                <w:kern w:val="24"/>
              </w:rPr>
              <w:t>des éléments de la morphologie et de la sémantique lexicale.</w:t>
            </w:r>
          </w:p>
          <w:p w14:paraId="418AC7B7" w14:textId="6EC9E19E" w:rsidR="00AE778C" w:rsidRPr="00AE778C" w:rsidRDefault="00AE778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AE778C">
              <w:rPr>
                <w:rFonts w:ascii="Arial" w:eastAsiaTheme="minorEastAsia" w:hAnsi="Arial" w:cs="Arial"/>
                <w:bCs/>
                <w:kern w:val="24"/>
              </w:rPr>
              <w:t xml:space="preserve">Identification </w:t>
            </w:r>
            <w:r w:rsidR="00640F89">
              <w:rPr>
                <w:rFonts w:ascii="Arial" w:eastAsiaTheme="minorEastAsia" w:hAnsi="Arial" w:cs="Arial"/>
                <w:bCs/>
                <w:kern w:val="24"/>
              </w:rPr>
              <w:t xml:space="preserve">et analyse </w:t>
            </w:r>
            <w:r w:rsidRPr="00AE778C">
              <w:rPr>
                <w:rFonts w:ascii="Arial" w:eastAsiaTheme="minorEastAsia" w:hAnsi="Arial" w:cs="Arial"/>
                <w:bCs/>
                <w:kern w:val="24"/>
              </w:rPr>
              <w:t xml:space="preserve">des relations pragmatiques et syntagmatique 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pour </w:t>
            </w:r>
            <w:r w:rsidRPr="00AE778C">
              <w:rPr>
                <w:rFonts w:ascii="Arial" w:eastAsiaTheme="minorEastAsia" w:hAnsi="Arial" w:cs="Arial"/>
                <w:bCs/>
                <w:kern w:val="24"/>
              </w:rPr>
              <w:t>la définition de l’unité lexicale.</w:t>
            </w:r>
          </w:p>
          <w:p w14:paraId="041C8436" w14:textId="51E1662E" w:rsidR="00AE778C" w:rsidRPr="00AE778C" w:rsidRDefault="00AE778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AE778C">
              <w:rPr>
                <w:rFonts w:ascii="Arial" w:eastAsiaTheme="minorEastAsia" w:hAnsi="Arial" w:cs="Arial"/>
                <w:bCs/>
                <w:kern w:val="24"/>
              </w:rPr>
              <w:t xml:space="preserve">Indentification </w:t>
            </w:r>
            <w:r w:rsidR="00640F89">
              <w:rPr>
                <w:rFonts w:ascii="Arial" w:eastAsiaTheme="minorEastAsia" w:hAnsi="Arial" w:cs="Arial"/>
                <w:bCs/>
                <w:kern w:val="24"/>
              </w:rPr>
              <w:t xml:space="preserve">et analyse </w:t>
            </w:r>
            <w:r w:rsidRPr="00AE778C">
              <w:rPr>
                <w:rFonts w:ascii="Arial" w:eastAsiaTheme="minorEastAsia" w:hAnsi="Arial" w:cs="Arial"/>
                <w:bCs/>
                <w:kern w:val="24"/>
              </w:rPr>
              <w:t>des unités phraséologiques</w:t>
            </w:r>
          </w:p>
          <w:p w14:paraId="2471428A" w14:textId="77777777" w:rsidR="00AE778C" w:rsidRDefault="00AE778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AE778C">
              <w:rPr>
                <w:rFonts w:ascii="Arial" w:eastAsiaTheme="minorEastAsia" w:hAnsi="Arial" w:cs="Arial"/>
                <w:bCs/>
                <w:kern w:val="24"/>
              </w:rPr>
              <w:t xml:space="preserve">Manipulation des éléments phraséologiques dans le cours du FLE/en </w:t>
            </w:r>
            <w:proofErr w:type="spellStart"/>
            <w:r w:rsidRPr="00AE778C">
              <w:rPr>
                <w:rFonts w:ascii="Arial" w:eastAsiaTheme="minorEastAsia" w:hAnsi="Arial" w:cs="Arial"/>
                <w:bCs/>
                <w:kern w:val="24"/>
              </w:rPr>
              <w:t>traductologie</w:t>
            </w:r>
            <w:proofErr w:type="spellEnd"/>
            <w:r w:rsidRPr="00AE778C">
              <w:rPr>
                <w:rFonts w:ascii="Arial" w:eastAsiaTheme="minorEastAsia" w:hAnsi="Arial" w:cs="Arial"/>
                <w:bCs/>
                <w:kern w:val="24"/>
              </w:rPr>
              <w:t>/en dictionnaire de langue</w:t>
            </w:r>
          </w:p>
          <w:p w14:paraId="07CE4471" w14:textId="77777777" w:rsidR="006E0223" w:rsidRDefault="00AE778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AE778C">
              <w:rPr>
                <w:rFonts w:ascii="Arial" w:eastAsiaTheme="minorEastAsia" w:hAnsi="Arial" w:cs="Arial"/>
                <w:bCs/>
                <w:kern w:val="24"/>
              </w:rPr>
              <w:t>Analyse formelle du corpus</w:t>
            </w:r>
          </w:p>
          <w:p w14:paraId="3E48CB06" w14:textId="5661D8F3" w:rsidR="0054627C" w:rsidRPr="00AE778C" w:rsidRDefault="0054627C" w:rsidP="001A62B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La définition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bCs/>
                <w:kern w:val="24"/>
              </w:rPr>
              <w:t xml:space="preserve"> et organisation de la microstructure en lexicographie 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346DCC31" w:rsidR="006E0223" w:rsidRPr="00640F89" w:rsidRDefault="00640F89" w:rsidP="00640F89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Travail dirigé </w:t>
            </w:r>
            <w:r>
              <w:rPr>
                <w:rFonts w:ascii="Arial" w:eastAsiaTheme="minorEastAsia" w:hAnsi="Arial" w:cs="Arial"/>
                <w:bCs/>
                <w:kern w:val="24"/>
              </w:rPr>
              <w:t>et</w:t>
            </w: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kern w:val="24"/>
              </w:rPr>
              <w:t>l’</w:t>
            </w:r>
            <w:r w:rsidRPr="00640F89">
              <w:rPr>
                <w:rFonts w:ascii="Arial" w:eastAsiaTheme="minorEastAsia" w:hAnsi="Arial" w:cs="Arial"/>
                <w:bCs/>
                <w:kern w:val="24"/>
              </w:rPr>
              <w:t>examen oral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1F6C1FA6" w14:textId="77777777" w:rsidR="00640F89" w:rsidRDefault="00640F89" w:rsidP="00640F89">
            <w:pPr>
              <w:pStyle w:val="ListParagraph"/>
              <w:spacing w:line="360" w:lineRule="auto"/>
              <w:ind w:left="325"/>
              <w:rPr>
                <w:rFonts w:ascii="Arial" w:eastAsiaTheme="minorEastAsia" w:hAnsi="Arial" w:cs="Arial"/>
                <w:bCs/>
                <w:kern w:val="24"/>
              </w:rPr>
            </w:pP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Lehman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A.</w:t>
            </w:r>
            <w:proofErr w:type="gramStart"/>
            <w:r w:rsidRPr="00640F89">
              <w:rPr>
                <w:rFonts w:ascii="Arial" w:eastAsiaTheme="minorEastAsia" w:hAnsi="Arial" w:cs="Arial"/>
                <w:bCs/>
                <w:kern w:val="24"/>
              </w:rPr>
              <w:t>,Martin</w:t>
            </w:r>
            <w:proofErr w:type="gramEnd"/>
            <w:r w:rsidRPr="00640F89">
              <w:rPr>
                <w:rFonts w:ascii="Arial" w:eastAsiaTheme="minorEastAsia" w:hAnsi="Arial" w:cs="Arial"/>
                <w:bCs/>
                <w:kern w:val="24"/>
              </w:rPr>
              <w:t>-Berthet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F., 2010, </w:t>
            </w:r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>Introduction à la lexicologie,</w:t>
            </w: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 Paris : Armand Colin. </w:t>
            </w:r>
          </w:p>
          <w:p w14:paraId="606DED42" w14:textId="77777777" w:rsidR="00640F89" w:rsidRDefault="00640F89" w:rsidP="00640F89">
            <w:pPr>
              <w:pStyle w:val="ListParagraph"/>
              <w:spacing w:line="360" w:lineRule="auto"/>
              <w:ind w:left="325"/>
              <w:rPr>
                <w:rFonts w:ascii="Arial" w:eastAsiaTheme="minorEastAsia" w:hAnsi="Arial" w:cs="Arial"/>
                <w:bCs/>
                <w:kern w:val="24"/>
              </w:rPr>
            </w:pP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Polguère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A., 2008, </w:t>
            </w:r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 xml:space="preserve">Lexicologie et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>sémantique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 xml:space="preserve"> lexicale</w:t>
            </w:r>
            <w:r w:rsidRPr="00640F89">
              <w:rPr>
                <w:rFonts w:ascii="Arial" w:eastAsiaTheme="minorEastAsia" w:hAnsi="Arial" w:cs="Arial"/>
                <w:bCs/>
                <w:kern w:val="24"/>
              </w:rPr>
              <w:t>, Les Presses de l'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Universite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́ de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Montréal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>.</w:t>
            </w:r>
          </w:p>
          <w:p w14:paraId="0682420C" w14:textId="77777777" w:rsidR="00640F89" w:rsidRDefault="00640F89" w:rsidP="00640F89">
            <w:pPr>
              <w:pStyle w:val="ListParagraph"/>
              <w:spacing w:line="360" w:lineRule="auto"/>
              <w:ind w:left="325"/>
              <w:rPr>
                <w:rFonts w:ascii="Arial" w:eastAsiaTheme="minorEastAsia" w:hAnsi="Arial" w:cs="Arial"/>
                <w:bCs/>
                <w:kern w:val="24"/>
              </w:rPr>
            </w:pP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Apothéloz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D., 2002, </w:t>
            </w:r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 xml:space="preserve">La construction du lexique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>français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Paris : Ophrys. </w:t>
            </w:r>
          </w:p>
          <w:p w14:paraId="1ABA4462" w14:textId="7348C92B" w:rsidR="00640F89" w:rsidRDefault="00640F89" w:rsidP="00640F89">
            <w:pPr>
              <w:pStyle w:val="ListParagraph"/>
              <w:spacing w:line="360" w:lineRule="auto"/>
              <w:ind w:left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Gonzales-Rey, I. 2015, </w:t>
            </w:r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>La phraséologie du français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, PUM </w:t>
            </w:r>
          </w:p>
          <w:p w14:paraId="6005AAD8" w14:textId="4E2C7171" w:rsidR="006E0223" w:rsidRPr="00640F89" w:rsidRDefault="00640F89" w:rsidP="00640F89">
            <w:pPr>
              <w:pStyle w:val="ListParagraph"/>
              <w:spacing w:line="360" w:lineRule="auto"/>
              <w:ind w:left="325"/>
              <w:rPr>
                <w:rFonts w:ascii="Arial" w:eastAsiaTheme="minorEastAsia" w:hAnsi="Arial" w:cs="Arial"/>
                <w:bCs/>
                <w:kern w:val="24"/>
              </w:rPr>
            </w:pP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Gledhill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>, Ch., La</w:t>
            </w:r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 xml:space="preserve">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>phraséologie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i/>
                <w:kern w:val="24"/>
              </w:rPr>
              <w:t xml:space="preserve"> dans l’analyse des genres textuels</w:t>
            </w: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, Birmingham : Aston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University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 Publications.</w:t>
            </w:r>
          </w:p>
        </w:tc>
      </w:tr>
      <w:tr w:rsidR="006E0223" w:rsidRPr="006E0223" w14:paraId="7DF907A4" w14:textId="547808C5" w:rsidTr="006E0223">
        <w:tc>
          <w:tcPr>
            <w:tcW w:w="2405" w:type="dxa"/>
          </w:tcPr>
          <w:p w14:paraId="2AFE6F1A" w14:textId="1925ABA9" w:rsidR="006E0223" w:rsidRPr="006E0223" w:rsidRDefault="006E0223" w:rsidP="00640F8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 xml:space="preserve">Responsable </w:t>
            </w:r>
          </w:p>
        </w:tc>
        <w:tc>
          <w:tcPr>
            <w:tcW w:w="6657" w:type="dxa"/>
          </w:tcPr>
          <w:p w14:paraId="1BF5416A" w14:textId="2FD02E9E" w:rsidR="006E0223" w:rsidRPr="00640F89" w:rsidRDefault="00640F89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Barbara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Vodanović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>, bvodanov@unizd.hr</w:t>
            </w: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7DBD" w14:textId="77777777" w:rsidR="001A62B9" w:rsidRDefault="001A62B9">
      <w:pPr>
        <w:spacing w:after="0" w:line="240" w:lineRule="auto"/>
      </w:pPr>
      <w:r>
        <w:separator/>
      </w:r>
    </w:p>
  </w:endnote>
  <w:endnote w:type="continuationSeparator" w:id="0">
    <w:p w14:paraId="123B9A73" w14:textId="77777777" w:rsidR="001A62B9" w:rsidRDefault="001A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AB257" w14:textId="77777777" w:rsidR="001A62B9" w:rsidRDefault="001A62B9">
      <w:pPr>
        <w:spacing w:after="0" w:line="240" w:lineRule="auto"/>
      </w:pPr>
      <w:r>
        <w:separator/>
      </w:r>
    </w:p>
  </w:footnote>
  <w:footnote w:type="continuationSeparator" w:id="0">
    <w:p w14:paraId="3E5C699A" w14:textId="77777777" w:rsidR="001A62B9" w:rsidRDefault="001A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E60FB"/>
    <w:multiLevelType w:val="hybridMultilevel"/>
    <w:tmpl w:val="800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42E01"/>
    <w:rsid w:val="00056492"/>
    <w:rsid w:val="0006498E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A62B9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4627C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40F89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AE778C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75A7B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C76A-FA00-421B-BCFD-5CF39A21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bvodanovic@unizd.hr</cp:lastModifiedBy>
  <cp:revision>2</cp:revision>
  <cp:lastPrinted>2022-06-08T12:43:00Z</cp:lastPrinted>
  <dcterms:created xsi:type="dcterms:W3CDTF">2022-10-17T09:54:00Z</dcterms:created>
  <dcterms:modified xsi:type="dcterms:W3CDTF">2022-10-17T09:54:00Z</dcterms:modified>
</cp:coreProperties>
</file>