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E0223" w:rsidRPr="00D5670F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59FB69B5" w14:textId="77777777" w:rsidR="006E0223" w:rsidRPr="00D103CC" w:rsidRDefault="006E0223" w:rsidP="00D103CC">
            <w:pPr>
              <w:jc w:val="center"/>
              <w:rPr>
                <w:rFonts w:ascii="Arial" w:hAnsi="Arial" w:cs="Arial"/>
                <w:b/>
              </w:rPr>
            </w:pPr>
            <w:r w:rsidRPr="00D103CC">
              <w:rPr>
                <w:rFonts w:ascii="Arial" w:hAnsi="Arial" w:cs="Arial"/>
                <w:b/>
              </w:rPr>
              <w:t>NOM DU COURS</w:t>
            </w:r>
            <w:r w:rsidR="00133090" w:rsidRPr="00D103CC">
              <w:rPr>
                <w:rFonts w:ascii="Arial" w:hAnsi="Arial" w:cs="Arial"/>
                <w:b/>
              </w:rPr>
              <w:t> :</w:t>
            </w:r>
          </w:p>
          <w:p w14:paraId="698CB7EC" w14:textId="3438B553" w:rsidR="00133090" w:rsidRPr="00D5670F" w:rsidRDefault="00D5670F" w:rsidP="00D103CC">
            <w:pPr>
              <w:jc w:val="center"/>
              <w:rPr>
                <w:rFonts w:ascii="Arial" w:hAnsi="Arial" w:cs="Arial"/>
              </w:rPr>
            </w:pPr>
            <w:r w:rsidRPr="00D103CC">
              <w:rPr>
                <w:rFonts w:ascii="Arial" w:hAnsi="Arial" w:cs="Arial"/>
                <w:b/>
              </w:rPr>
              <w:t>Introduction à l’analyse de la phrase I</w:t>
            </w:r>
            <w:r w:rsidR="00812681">
              <w:rPr>
                <w:rFonts w:ascii="Arial" w:hAnsi="Arial" w:cs="Arial"/>
                <w:b/>
              </w:rPr>
              <w:t>I</w:t>
            </w:r>
            <w:bookmarkStart w:id="0" w:name="_GoBack"/>
            <w:bookmarkEnd w:id="0"/>
          </w:p>
        </w:tc>
      </w:tr>
      <w:tr w:rsidR="006E0223" w:rsidRPr="00D5670F" w14:paraId="195C59AF" w14:textId="5678CA2D" w:rsidTr="006E0223">
        <w:tc>
          <w:tcPr>
            <w:tcW w:w="2405" w:type="dxa"/>
          </w:tcPr>
          <w:p w14:paraId="2AD3C5EA" w14:textId="509D2379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Semestre</w:t>
            </w:r>
          </w:p>
        </w:tc>
        <w:tc>
          <w:tcPr>
            <w:tcW w:w="6657" w:type="dxa"/>
          </w:tcPr>
          <w:p w14:paraId="72F0FA55" w14:textId="7E618C0A" w:rsidR="006E0223" w:rsidRPr="00D5670F" w:rsidRDefault="00D103CC" w:rsidP="00D5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E0223" w:rsidRPr="00D5670F" w14:paraId="3D5B611C" w14:textId="21C094DA" w:rsidTr="006E0223">
        <w:tc>
          <w:tcPr>
            <w:tcW w:w="2405" w:type="dxa"/>
          </w:tcPr>
          <w:p w14:paraId="06E9407B" w14:textId="44CFE54C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499CD0A4" w:rsidR="006E0223" w:rsidRPr="00D5670F" w:rsidRDefault="00133090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 xml:space="preserve">1 TD </w:t>
            </w:r>
          </w:p>
        </w:tc>
      </w:tr>
      <w:tr w:rsidR="006E0223" w:rsidRPr="00D5670F" w14:paraId="7BCA1998" w14:textId="54803EF1" w:rsidTr="006E0223">
        <w:tc>
          <w:tcPr>
            <w:tcW w:w="2405" w:type="dxa"/>
          </w:tcPr>
          <w:p w14:paraId="75A95260" w14:textId="6AD89CDA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Objectifs</w:t>
            </w:r>
          </w:p>
        </w:tc>
        <w:tc>
          <w:tcPr>
            <w:tcW w:w="6657" w:type="dxa"/>
          </w:tcPr>
          <w:p w14:paraId="56FB8EC6" w14:textId="1DA0BE5B" w:rsidR="00D103CC" w:rsidRPr="00D5670F" w:rsidRDefault="00D5670F" w:rsidP="00D103CC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Le cours fait partie des compétences</w:t>
            </w:r>
            <w:r w:rsidR="00E95808">
              <w:rPr>
                <w:rFonts w:ascii="Arial" w:hAnsi="Arial" w:cs="Arial"/>
              </w:rPr>
              <w:t xml:space="preserve"> linguistiques de base</w:t>
            </w:r>
            <w:r w:rsidRPr="00D5670F">
              <w:rPr>
                <w:rFonts w:ascii="Arial" w:hAnsi="Arial" w:cs="Arial"/>
              </w:rPr>
              <w:t xml:space="preserve">. Le cours donne un bref aperçu des types de </w:t>
            </w:r>
            <w:r w:rsidR="00D103CC">
              <w:rPr>
                <w:rFonts w:ascii="Arial" w:hAnsi="Arial" w:cs="Arial"/>
              </w:rPr>
              <w:t>syntagmes</w:t>
            </w:r>
            <w:r w:rsidRPr="00D5670F">
              <w:rPr>
                <w:rFonts w:ascii="Arial" w:hAnsi="Arial" w:cs="Arial"/>
              </w:rPr>
              <w:t xml:space="preserve"> et de leurs fonctions dans </w:t>
            </w:r>
            <w:r w:rsidR="00E95808">
              <w:rPr>
                <w:rFonts w:ascii="Arial" w:hAnsi="Arial" w:cs="Arial"/>
              </w:rPr>
              <w:t>la</w:t>
            </w:r>
            <w:r w:rsidRPr="00D5670F">
              <w:rPr>
                <w:rFonts w:ascii="Arial" w:hAnsi="Arial" w:cs="Arial"/>
              </w:rPr>
              <w:t xml:space="preserve"> phrase. </w:t>
            </w:r>
            <w:r w:rsidR="00D103CC">
              <w:rPr>
                <w:rFonts w:ascii="Arial" w:hAnsi="Arial" w:cs="Arial"/>
              </w:rPr>
              <w:t>On compare les verbes et leurs compléments ainsi que les phrases subordonnées en français et en croate.</w:t>
            </w:r>
          </w:p>
        </w:tc>
      </w:tr>
      <w:tr w:rsidR="006E0223" w:rsidRPr="00D5670F" w14:paraId="514509F3" w14:textId="0BA11900" w:rsidTr="006E0223">
        <w:tc>
          <w:tcPr>
            <w:tcW w:w="2405" w:type="dxa"/>
          </w:tcPr>
          <w:p w14:paraId="1344CBA4" w14:textId="0E3CCD5F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Contenus enseignés/description des cours</w:t>
            </w:r>
          </w:p>
        </w:tc>
        <w:tc>
          <w:tcPr>
            <w:tcW w:w="6657" w:type="dxa"/>
          </w:tcPr>
          <w:p w14:paraId="33776017" w14:textId="1DD8F978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Introduction</w:t>
            </w:r>
          </w:p>
          <w:p w14:paraId="27E72844" w14:textId="120AF63E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103CC">
              <w:rPr>
                <w:rFonts w:ascii="Arial" w:hAnsi="Arial" w:cs="Arial"/>
              </w:rPr>
              <w:t>Syntagme nominal</w:t>
            </w:r>
          </w:p>
          <w:p w14:paraId="32C652E3" w14:textId="5548A0B0" w:rsidR="00E95808" w:rsidRDefault="00D103CC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Syntagme adjectival et adverbial</w:t>
            </w:r>
          </w:p>
          <w:p w14:paraId="3EEE073D" w14:textId="6BB8E8B9" w:rsidR="00E95808" w:rsidRDefault="00E95808" w:rsidP="00D10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D103CC">
              <w:rPr>
                <w:rFonts w:ascii="Arial" w:hAnsi="Arial" w:cs="Arial"/>
              </w:rPr>
              <w:t>Syntagme pronominal</w:t>
            </w:r>
          </w:p>
          <w:p w14:paraId="579CE983" w14:textId="32F694ED" w:rsidR="00E95808" w:rsidRDefault="00D103CC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95808">
              <w:rPr>
                <w:rFonts w:ascii="Arial" w:hAnsi="Arial" w:cs="Arial"/>
              </w:rPr>
              <w:t>. 1</w:t>
            </w:r>
            <w:r w:rsidR="00E95808" w:rsidRPr="00E95808">
              <w:rPr>
                <w:rFonts w:ascii="Arial" w:hAnsi="Arial" w:cs="Arial"/>
                <w:vertAlign w:val="superscript"/>
              </w:rPr>
              <w:t>er</w:t>
            </w:r>
            <w:r w:rsidR="00E95808">
              <w:rPr>
                <w:rFonts w:ascii="Arial" w:hAnsi="Arial" w:cs="Arial"/>
              </w:rPr>
              <w:t xml:space="preserve"> contrôle continu</w:t>
            </w:r>
          </w:p>
          <w:p w14:paraId="2F103E8C" w14:textId="2385A015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95808">
              <w:rPr>
                <w:rFonts w:ascii="Arial" w:hAnsi="Arial" w:cs="Arial"/>
              </w:rPr>
              <w:t xml:space="preserve">. </w:t>
            </w:r>
            <w:r w:rsidR="00D103CC">
              <w:rPr>
                <w:rFonts w:ascii="Arial" w:hAnsi="Arial" w:cs="Arial"/>
              </w:rPr>
              <w:t>Prédicat 1</w:t>
            </w:r>
          </w:p>
          <w:p w14:paraId="4EDCF49A" w14:textId="3604C79E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95808">
              <w:rPr>
                <w:rFonts w:ascii="Arial" w:hAnsi="Arial" w:cs="Arial"/>
              </w:rPr>
              <w:t xml:space="preserve">. </w:t>
            </w:r>
            <w:r w:rsidR="00D103CC">
              <w:rPr>
                <w:rFonts w:ascii="Arial" w:hAnsi="Arial" w:cs="Arial"/>
              </w:rPr>
              <w:t>Prédicat 2</w:t>
            </w:r>
          </w:p>
          <w:p w14:paraId="6323F7E1" w14:textId="4CDC8229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95808">
              <w:rPr>
                <w:rFonts w:ascii="Arial" w:hAnsi="Arial" w:cs="Arial"/>
              </w:rPr>
              <w:t>. Prédicat</w:t>
            </w:r>
            <w:r w:rsidR="00D103CC">
              <w:rPr>
                <w:rFonts w:ascii="Arial" w:hAnsi="Arial" w:cs="Arial"/>
              </w:rPr>
              <w:t xml:space="preserve"> 3</w:t>
            </w:r>
          </w:p>
          <w:p w14:paraId="57E8735E" w14:textId="656C5B24" w:rsidR="006C78FD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9580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Prédicat 4</w:t>
            </w:r>
            <w:r w:rsidR="00E95808">
              <w:rPr>
                <w:rFonts w:ascii="Arial" w:hAnsi="Arial" w:cs="Arial"/>
              </w:rPr>
              <w:t xml:space="preserve"> </w:t>
            </w:r>
          </w:p>
          <w:p w14:paraId="799D12C9" w14:textId="2DEAAF2A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95808">
              <w:rPr>
                <w:rFonts w:ascii="Arial" w:hAnsi="Arial" w:cs="Arial"/>
              </w:rPr>
              <w:t>. 2</w:t>
            </w:r>
            <w:r w:rsidR="00E95808" w:rsidRPr="00E95808">
              <w:rPr>
                <w:rFonts w:ascii="Arial" w:hAnsi="Arial" w:cs="Arial"/>
                <w:vertAlign w:val="superscript"/>
              </w:rPr>
              <w:t>e</w:t>
            </w:r>
            <w:r w:rsidR="00E95808">
              <w:rPr>
                <w:rFonts w:ascii="Arial" w:hAnsi="Arial" w:cs="Arial"/>
              </w:rPr>
              <w:t xml:space="preserve"> contrôle continu</w:t>
            </w:r>
          </w:p>
          <w:p w14:paraId="4C38157F" w14:textId="7DC87B4F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9580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Propositions subordonnées 1 - conjonctions</w:t>
            </w:r>
          </w:p>
          <w:p w14:paraId="041A3871" w14:textId="0F2F7D10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9580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Propositions subordonnées 2</w:t>
            </w:r>
          </w:p>
          <w:p w14:paraId="42ABF7DA" w14:textId="6DE74B04" w:rsidR="00E95808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E9580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Propositions subordonnées 3</w:t>
            </w:r>
          </w:p>
          <w:p w14:paraId="5D35C313" w14:textId="1AD58D88" w:rsidR="0046387D" w:rsidRDefault="0046387D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Propositions subordonnées 4</w:t>
            </w:r>
          </w:p>
          <w:p w14:paraId="3E48CB06" w14:textId="4D0C677B" w:rsidR="00133090" w:rsidRPr="00D5670F" w:rsidRDefault="00E95808" w:rsidP="00D5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15. 3</w:t>
            </w:r>
            <w:r w:rsidRPr="00E95808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contrôle continu</w:t>
            </w:r>
          </w:p>
        </w:tc>
      </w:tr>
      <w:tr w:rsidR="006E0223" w:rsidRPr="00D5670F" w14:paraId="4B3E262E" w14:textId="09A17D99" w:rsidTr="006E0223">
        <w:tc>
          <w:tcPr>
            <w:tcW w:w="2405" w:type="dxa"/>
          </w:tcPr>
          <w:p w14:paraId="609B9208" w14:textId="72899C05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46F0918C" w:rsidR="006E0223" w:rsidRPr="00D5670F" w:rsidRDefault="006C78FD" w:rsidP="00D5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oral</w:t>
            </w:r>
          </w:p>
        </w:tc>
      </w:tr>
      <w:tr w:rsidR="006E0223" w:rsidRPr="00D5670F" w14:paraId="3089A151" w14:textId="4EE91CE0" w:rsidTr="006E0223">
        <w:tc>
          <w:tcPr>
            <w:tcW w:w="2405" w:type="dxa"/>
          </w:tcPr>
          <w:p w14:paraId="2A4B946B" w14:textId="0E074985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Bibliographie</w:t>
            </w:r>
          </w:p>
        </w:tc>
        <w:tc>
          <w:tcPr>
            <w:tcW w:w="6657" w:type="dxa"/>
          </w:tcPr>
          <w:p w14:paraId="3DEA1846" w14:textId="6511EE53" w:rsidR="0046387D" w:rsidRPr="0046387D" w:rsidRDefault="0046387D" w:rsidP="0046387D">
            <w:pPr>
              <w:rPr>
                <w:rFonts w:ascii="Arial" w:hAnsi="Arial" w:cs="Arial"/>
              </w:rPr>
            </w:pPr>
            <w:proofErr w:type="spellStart"/>
            <w:r w:rsidRPr="0046387D">
              <w:rPr>
                <w:rFonts w:ascii="Arial" w:hAnsi="Arial" w:cs="Arial"/>
              </w:rPr>
              <w:t>Abry</w:t>
            </w:r>
            <w:proofErr w:type="spellEnd"/>
            <w:r w:rsidRPr="0046387D">
              <w:rPr>
                <w:rFonts w:ascii="Arial" w:hAnsi="Arial" w:cs="Arial"/>
              </w:rPr>
              <w:t xml:space="preserve">, D., </w:t>
            </w:r>
            <w:proofErr w:type="spellStart"/>
            <w:r w:rsidRPr="0046387D">
              <w:rPr>
                <w:rFonts w:ascii="Arial" w:hAnsi="Arial" w:cs="Arial"/>
              </w:rPr>
              <w:t>Chalaron</w:t>
            </w:r>
            <w:proofErr w:type="spellEnd"/>
            <w:r w:rsidRPr="0046387D">
              <w:rPr>
                <w:rFonts w:ascii="Arial" w:hAnsi="Arial" w:cs="Arial"/>
              </w:rPr>
              <w:t xml:space="preserve">, M.-L., </w:t>
            </w:r>
            <w:proofErr w:type="gramStart"/>
            <w:r w:rsidRPr="0046387D">
              <w:rPr>
                <w:rFonts w:ascii="Arial" w:hAnsi="Arial" w:cs="Arial"/>
              </w:rPr>
              <w:t>2014.,</w:t>
            </w:r>
            <w:proofErr w:type="gramEnd"/>
            <w:r w:rsidRPr="0046387D">
              <w:rPr>
                <w:rFonts w:ascii="Arial" w:hAnsi="Arial" w:cs="Arial"/>
              </w:rPr>
              <w:t xml:space="preserve"> </w:t>
            </w:r>
            <w:r w:rsidRPr="0046387D">
              <w:rPr>
                <w:rFonts w:ascii="Arial" w:hAnsi="Arial" w:cs="Arial"/>
                <w:i/>
              </w:rPr>
              <w:t>La grammaire des premiers temps, niveaux A1-A2</w:t>
            </w:r>
            <w:r w:rsidRPr="0046387D">
              <w:rPr>
                <w:rFonts w:ascii="Arial" w:hAnsi="Arial" w:cs="Arial"/>
              </w:rPr>
              <w:t>, Fontaine/Grenoble, FLE PUG</w:t>
            </w:r>
          </w:p>
          <w:p w14:paraId="58B20EAB" w14:textId="7BF0CE13" w:rsidR="0046387D" w:rsidRPr="0046387D" w:rsidRDefault="0046387D" w:rsidP="0046387D">
            <w:pPr>
              <w:rPr>
                <w:rFonts w:ascii="Arial" w:hAnsi="Arial" w:cs="Arial"/>
              </w:rPr>
            </w:pPr>
            <w:r w:rsidRPr="0046387D">
              <w:rPr>
                <w:rFonts w:ascii="Arial" w:hAnsi="Arial" w:cs="Arial"/>
              </w:rPr>
              <w:t xml:space="preserve">Boulet, R., et </w:t>
            </w:r>
            <w:proofErr w:type="gramStart"/>
            <w:r w:rsidRPr="0046387D">
              <w:rPr>
                <w:rFonts w:ascii="Arial" w:hAnsi="Arial" w:cs="Arial"/>
              </w:rPr>
              <w:t>al.,</w:t>
            </w:r>
            <w:proofErr w:type="gramEnd"/>
            <w:r w:rsidRPr="0046387D">
              <w:rPr>
                <w:rFonts w:ascii="Arial" w:hAnsi="Arial" w:cs="Arial"/>
              </w:rPr>
              <w:t xml:space="preserve"> A., 2002., </w:t>
            </w:r>
            <w:r w:rsidRPr="0046387D">
              <w:rPr>
                <w:rFonts w:ascii="Arial" w:hAnsi="Arial" w:cs="Arial"/>
                <w:i/>
              </w:rPr>
              <w:t>Grammaire expliquée du français</w:t>
            </w:r>
            <w:r w:rsidRPr="0046387D">
              <w:rPr>
                <w:rFonts w:ascii="Arial" w:hAnsi="Arial" w:cs="Arial"/>
              </w:rPr>
              <w:t xml:space="preserve"> – </w:t>
            </w:r>
            <w:r w:rsidRPr="0046387D">
              <w:rPr>
                <w:rFonts w:ascii="Arial" w:hAnsi="Arial" w:cs="Arial"/>
                <w:i/>
              </w:rPr>
              <w:t>Cahier d'exercices, Niveau débutant</w:t>
            </w:r>
            <w:r w:rsidRPr="0046387D">
              <w:rPr>
                <w:rFonts w:ascii="Arial" w:hAnsi="Arial" w:cs="Arial"/>
              </w:rPr>
              <w:t>, Paris, CLE International</w:t>
            </w:r>
          </w:p>
          <w:p w14:paraId="41E99CC6" w14:textId="601EACA1" w:rsidR="0046387D" w:rsidRPr="0046387D" w:rsidRDefault="0046387D" w:rsidP="0046387D">
            <w:pPr>
              <w:rPr>
                <w:rFonts w:ascii="Arial" w:hAnsi="Arial" w:cs="Arial"/>
                <w:bCs/>
                <w:color w:val="211819"/>
                <w:spacing w:val="-15"/>
              </w:rPr>
            </w:pPr>
            <w:r w:rsidRPr="0046387D">
              <w:rPr>
                <w:rFonts w:ascii="Arial" w:hAnsi="Arial" w:cs="Arial"/>
                <w:color w:val="211819"/>
              </w:rPr>
              <w:t xml:space="preserve">Silić, J., </w:t>
            </w:r>
            <w:proofErr w:type="spellStart"/>
            <w:r w:rsidRPr="0046387D">
              <w:rPr>
                <w:rFonts w:ascii="Arial" w:hAnsi="Arial" w:cs="Arial"/>
                <w:color w:val="211819"/>
              </w:rPr>
              <w:t>Pranjković</w:t>
            </w:r>
            <w:proofErr w:type="spellEnd"/>
            <w:r w:rsidRPr="0046387D">
              <w:rPr>
                <w:rFonts w:ascii="Arial" w:hAnsi="Arial" w:cs="Arial"/>
                <w:color w:val="211819"/>
              </w:rPr>
              <w:t xml:space="preserve">, I., </w:t>
            </w:r>
            <w:proofErr w:type="gramStart"/>
            <w:r w:rsidRPr="0046387D">
              <w:rPr>
                <w:rFonts w:ascii="Arial" w:hAnsi="Arial" w:cs="Arial"/>
                <w:color w:val="211819"/>
              </w:rPr>
              <w:t>2007.,</w:t>
            </w:r>
            <w:proofErr w:type="gramEnd"/>
            <w:r w:rsidRPr="0046387D">
              <w:rPr>
                <w:rFonts w:ascii="Arial" w:hAnsi="Arial" w:cs="Arial"/>
                <w:color w:val="211819"/>
              </w:rPr>
              <w:t xml:space="preserve">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Gramatika</w:t>
            </w:r>
            <w:proofErr w:type="spellEnd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hrvatskoga</w:t>
            </w:r>
            <w:proofErr w:type="spellEnd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jezika</w:t>
            </w:r>
            <w:proofErr w:type="spellEnd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-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Za</w:t>
            </w:r>
            <w:proofErr w:type="spellEnd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gimnazije</w:t>
            </w:r>
            <w:proofErr w:type="spellEnd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i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visoka</w:t>
            </w:r>
            <w:proofErr w:type="spellEnd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46387D">
              <w:rPr>
                <w:rFonts w:ascii="Arial" w:hAnsi="Arial" w:cs="Arial"/>
                <w:bCs/>
                <w:i/>
                <w:color w:val="211819"/>
                <w:spacing w:val="-15"/>
              </w:rPr>
              <w:t>učilišta</w:t>
            </w:r>
            <w:proofErr w:type="spellEnd"/>
            <w:r w:rsidRPr="0046387D">
              <w:rPr>
                <w:rFonts w:ascii="Arial" w:hAnsi="Arial" w:cs="Arial"/>
                <w:bCs/>
                <w:color w:val="211819"/>
                <w:spacing w:val="-15"/>
              </w:rPr>
              <w:t xml:space="preserve">, Zagreb, </w:t>
            </w:r>
            <w:proofErr w:type="spellStart"/>
            <w:r w:rsidRPr="0046387D">
              <w:rPr>
                <w:rFonts w:ascii="Arial" w:hAnsi="Arial" w:cs="Arial"/>
                <w:bCs/>
                <w:color w:val="211819"/>
                <w:spacing w:val="-15"/>
              </w:rPr>
              <w:t>Školska</w:t>
            </w:r>
            <w:proofErr w:type="spellEnd"/>
            <w:r w:rsidRPr="0046387D">
              <w:rPr>
                <w:rFonts w:ascii="Arial" w:hAnsi="Arial" w:cs="Arial"/>
                <w:bCs/>
                <w:color w:val="211819"/>
                <w:spacing w:val="-15"/>
              </w:rPr>
              <w:t xml:space="preserve"> </w:t>
            </w:r>
            <w:proofErr w:type="spellStart"/>
            <w:r w:rsidRPr="0046387D">
              <w:rPr>
                <w:rFonts w:ascii="Arial" w:hAnsi="Arial" w:cs="Arial"/>
                <w:bCs/>
                <w:color w:val="211819"/>
                <w:spacing w:val="-15"/>
              </w:rPr>
              <w:t>knjiga</w:t>
            </w:r>
            <w:proofErr w:type="spellEnd"/>
          </w:p>
          <w:p w14:paraId="6005AAD8" w14:textId="13D194E7" w:rsidR="006E0223" w:rsidRPr="00D5670F" w:rsidRDefault="0046387D" w:rsidP="0046387D">
            <w:pPr>
              <w:rPr>
                <w:rFonts w:ascii="Arial" w:hAnsi="Arial" w:cs="Arial"/>
              </w:rPr>
            </w:pPr>
            <w:r w:rsidRPr="0046387D">
              <w:rPr>
                <w:rFonts w:ascii="Arial" w:hAnsi="Arial" w:cs="Arial"/>
                <w:bCs/>
                <w:color w:val="211819"/>
                <w:spacing w:val="-15"/>
              </w:rPr>
              <w:t xml:space="preserve">Varga, D., </w:t>
            </w:r>
            <w:r w:rsidRPr="0046387D">
              <w:rPr>
                <w:rFonts w:ascii="Arial" w:eastAsia="Times New Roman" w:hAnsi="Arial" w:cs="Arial"/>
              </w:rPr>
              <w:t xml:space="preserve">2005, </w:t>
            </w:r>
            <w:r w:rsidRPr="0046387D">
              <w:rPr>
                <w:rFonts w:ascii="Arial" w:eastAsia="Times New Roman" w:hAnsi="Arial" w:cs="Arial"/>
                <w:i/>
              </w:rPr>
              <w:t>Syntaxe du français</w:t>
            </w:r>
            <w:r w:rsidRPr="0046387D">
              <w:rPr>
                <w:rFonts w:ascii="Arial" w:eastAsia="Times New Roman" w:hAnsi="Arial" w:cs="Arial"/>
              </w:rPr>
              <w:t xml:space="preserve">, Zagreb, FF </w:t>
            </w:r>
            <w:proofErr w:type="spellStart"/>
            <w:r w:rsidRPr="0046387D">
              <w:rPr>
                <w:rFonts w:ascii="Arial" w:eastAsia="Times New Roman" w:hAnsi="Arial" w:cs="Arial"/>
              </w:rPr>
              <w:t>Press</w:t>
            </w:r>
            <w:proofErr w:type="spellEnd"/>
          </w:p>
        </w:tc>
      </w:tr>
      <w:tr w:rsidR="006E0223" w:rsidRPr="00812681" w14:paraId="7DF907A4" w14:textId="547808C5" w:rsidTr="006E0223">
        <w:tc>
          <w:tcPr>
            <w:tcW w:w="2405" w:type="dxa"/>
          </w:tcPr>
          <w:p w14:paraId="2AFE6F1A" w14:textId="39865B64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Responsable (nom et adresse mail)</w:t>
            </w:r>
          </w:p>
        </w:tc>
        <w:tc>
          <w:tcPr>
            <w:tcW w:w="6657" w:type="dxa"/>
          </w:tcPr>
          <w:p w14:paraId="1BF5416A" w14:textId="6690D47A" w:rsidR="006E0223" w:rsidRPr="00812681" w:rsidRDefault="00133090" w:rsidP="00D5670F">
            <w:pPr>
              <w:rPr>
                <w:rFonts w:ascii="Arial" w:hAnsi="Arial" w:cs="Arial"/>
                <w:lang w:val="it-IT"/>
              </w:rPr>
            </w:pPr>
            <w:r w:rsidRPr="00812681">
              <w:rPr>
                <w:rFonts w:ascii="Arial" w:hAnsi="Arial" w:cs="Arial"/>
                <w:lang w:val="it-IT"/>
              </w:rPr>
              <w:t>Tomislav FRLETA, tfrleta@unizd.hr</w:t>
            </w:r>
          </w:p>
        </w:tc>
      </w:tr>
    </w:tbl>
    <w:p w14:paraId="5CA351AA" w14:textId="42271939" w:rsidR="00E43B19" w:rsidRPr="00812681" w:rsidRDefault="00E43B19" w:rsidP="00D5670F">
      <w:pPr>
        <w:rPr>
          <w:rFonts w:ascii="Arial" w:hAnsi="Arial" w:cs="Arial"/>
          <w:lang w:val="it-IT"/>
        </w:rPr>
      </w:pPr>
    </w:p>
    <w:sectPr w:rsidR="00E43B19" w:rsidRPr="00812681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10ACB" w14:textId="77777777" w:rsidR="00B00F3A" w:rsidRDefault="00B00F3A">
      <w:pPr>
        <w:spacing w:after="0" w:line="240" w:lineRule="auto"/>
      </w:pPr>
      <w:r>
        <w:separator/>
      </w:r>
    </w:p>
  </w:endnote>
  <w:endnote w:type="continuationSeparator" w:id="0">
    <w:p w14:paraId="4C886F17" w14:textId="77777777" w:rsidR="00B00F3A" w:rsidRDefault="00B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B9898" w14:textId="77777777" w:rsidR="00B00F3A" w:rsidRDefault="00B00F3A">
      <w:pPr>
        <w:spacing w:after="0" w:line="240" w:lineRule="auto"/>
      </w:pPr>
      <w:r>
        <w:separator/>
      </w:r>
    </w:p>
  </w:footnote>
  <w:footnote w:type="continuationSeparator" w:id="0">
    <w:p w14:paraId="0A9F9439" w14:textId="77777777" w:rsidR="00B00F3A" w:rsidRDefault="00B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4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4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6"/>
  </w:num>
  <w:num w:numId="10">
    <w:abstractNumId w:val="17"/>
  </w:num>
  <w:num w:numId="11">
    <w:abstractNumId w:val="26"/>
  </w:num>
  <w:num w:numId="12">
    <w:abstractNumId w:val="33"/>
  </w:num>
  <w:num w:numId="13">
    <w:abstractNumId w:val="36"/>
  </w:num>
  <w:num w:numId="14">
    <w:abstractNumId w:val="38"/>
  </w:num>
  <w:num w:numId="15">
    <w:abstractNumId w:val="39"/>
  </w:num>
  <w:num w:numId="16">
    <w:abstractNumId w:val="44"/>
  </w:num>
  <w:num w:numId="17">
    <w:abstractNumId w:val="47"/>
  </w:num>
  <w:num w:numId="18">
    <w:abstractNumId w:val="29"/>
  </w:num>
  <w:num w:numId="19">
    <w:abstractNumId w:val="3"/>
  </w:num>
  <w:num w:numId="20">
    <w:abstractNumId w:val="27"/>
  </w:num>
  <w:num w:numId="21">
    <w:abstractNumId w:val="35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43"/>
  </w:num>
  <w:num w:numId="28">
    <w:abstractNumId w:val="23"/>
  </w:num>
  <w:num w:numId="29">
    <w:abstractNumId w:val="1"/>
  </w:num>
  <w:num w:numId="30">
    <w:abstractNumId w:val="40"/>
  </w:num>
  <w:num w:numId="31">
    <w:abstractNumId w:val="30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1"/>
  </w:num>
  <w:num w:numId="37">
    <w:abstractNumId w:val="37"/>
  </w:num>
  <w:num w:numId="38">
    <w:abstractNumId w:val="34"/>
  </w:num>
  <w:num w:numId="39">
    <w:abstractNumId w:val="22"/>
  </w:num>
  <w:num w:numId="40">
    <w:abstractNumId w:val="45"/>
  </w:num>
  <w:num w:numId="41">
    <w:abstractNumId w:val="32"/>
  </w:num>
  <w:num w:numId="42">
    <w:abstractNumId w:val="28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33090"/>
    <w:rsid w:val="00141702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402E5"/>
    <w:rsid w:val="00352180"/>
    <w:rsid w:val="00360BCC"/>
    <w:rsid w:val="003C6E4C"/>
    <w:rsid w:val="003D7AE4"/>
    <w:rsid w:val="0041395D"/>
    <w:rsid w:val="00445329"/>
    <w:rsid w:val="0045254A"/>
    <w:rsid w:val="0046387D"/>
    <w:rsid w:val="00471E29"/>
    <w:rsid w:val="0047723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C78FD"/>
    <w:rsid w:val="006E0223"/>
    <w:rsid w:val="006F07FE"/>
    <w:rsid w:val="006F0A75"/>
    <w:rsid w:val="00701EEE"/>
    <w:rsid w:val="007158B8"/>
    <w:rsid w:val="0072767B"/>
    <w:rsid w:val="007714F7"/>
    <w:rsid w:val="007836C4"/>
    <w:rsid w:val="007913B4"/>
    <w:rsid w:val="007B6843"/>
    <w:rsid w:val="007E077D"/>
    <w:rsid w:val="00812681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D20C0"/>
    <w:rsid w:val="009F6F1B"/>
    <w:rsid w:val="00A00FE2"/>
    <w:rsid w:val="00A20714"/>
    <w:rsid w:val="00A52ED1"/>
    <w:rsid w:val="00A545F4"/>
    <w:rsid w:val="00A71924"/>
    <w:rsid w:val="00A9254E"/>
    <w:rsid w:val="00AA0ABB"/>
    <w:rsid w:val="00AC5D29"/>
    <w:rsid w:val="00AF7A9C"/>
    <w:rsid w:val="00B00F3A"/>
    <w:rsid w:val="00B057E7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03CC"/>
    <w:rsid w:val="00D12FED"/>
    <w:rsid w:val="00D27613"/>
    <w:rsid w:val="00D514C1"/>
    <w:rsid w:val="00D53108"/>
    <w:rsid w:val="00D5670F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5808"/>
    <w:rsid w:val="00E96B59"/>
    <w:rsid w:val="00EB15DE"/>
    <w:rsid w:val="00EB7DD7"/>
    <w:rsid w:val="00ED5C4F"/>
    <w:rsid w:val="00F11E07"/>
    <w:rsid w:val="00F12219"/>
    <w:rsid w:val="00F1229D"/>
    <w:rsid w:val="00F1699A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090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1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2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E6D3-1B10-4A44-841A-8B2A38C7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Windows User</cp:lastModifiedBy>
  <cp:revision>3</cp:revision>
  <cp:lastPrinted>2022-06-08T12:43:00Z</cp:lastPrinted>
  <dcterms:created xsi:type="dcterms:W3CDTF">2022-12-06T20:48:00Z</dcterms:created>
  <dcterms:modified xsi:type="dcterms:W3CDTF">2022-12-06T20:49:00Z</dcterms:modified>
</cp:coreProperties>
</file>