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7" w:type="dxa"/>
        <w:tblInd w:w="-108" w:type="dxa"/>
        <w:tblLayout w:type="fixed"/>
        <w:tblCellMar>
          <w:left w:w="10" w:type="dxa"/>
          <w:right w:w="10" w:type="dxa"/>
        </w:tblCellMar>
        <w:tblLook w:val="0000" w:firstRow="0" w:lastRow="0" w:firstColumn="0" w:lastColumn="0" w:noHBand="0" w:noVBand="0"/>
      </w:tblPr>
      <w:tblGrid>
        <w:gridCol w:w="2518"/>
        <w:gridCol w:w="1360"/>
        <w:gridCol w:w="834"/>
        <w:gridCol w:w="641"/>
        <w:gridCol w:w="987"/>
        <w:gridCol w:w="162"/>
        <w:gridCol w:w="1299"/>
        <w:gridCol w:w="939"/>
        <w:gridCol w:w="309"/>
        <w:gridCol w:w="318"/>
      </w:tblGrid>
      <w:tr w:rsidR="003D7297" w:rsidRPr="00215438" w:rsidTr="00215438">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jc w:val="center"/>
            </w:pPr>
            <w:bookmarkStart w:id="0" w:name="_GoBack"/>
            <w:bookmarkEnd w:id="0"/>
            <w:r>
              <w:rPr>
                <w:rFonts w:ascii="Times New Roman" w:hAnsi="Times New Roman" w:cs="Times New Roman"/>
                <w:sz w:val="24"/>
                <w:szCs w:val="24"/>
              </w:rPr>
              <w:t>Department</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jc w:val="center"/>
            </w:pPr>
            <w:r>
              <w:rPr>
                <w:rFonts w:ascii="Times New Roman" w:hAnsi="Times New Roman" w:cs="Times New Roman"/>
                <w:sz w:val="24"/>
                <w:szCs w:val="24"/>
              </w:rPr>
              <w:t>Département d'études françaises et francophones</w:t>
            </w:r>
          </w:p>
        </w:tc>
      </w:tr>
      <w:tr w:rsidR="003D7297" w:rsidTr="00215438">
        <w:tblPrEx>
          <w:tblCellMar>
            <w:top w:w="0" w:type="dxa"/>
            <w:bottom w:w="0" w:type="dxa"/>
          </w:tblCellMar>
        </w:tblPrEx>
        <w:tc>
          <w:tcPr>
            <w:tcW w:w="9363" w:type="dxa"/>
            <w:gridSpan w:val="10"/>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jc w:val="center"/>
            </w:pPr>
            <w:r>
              <w:rPr>
                <w:rFonts w:ascii="Times New Roman" w:hAnsi="Times New Roman" w:cs="Times New Roman"/>
                <w:sz w:val="24"/>
                <w:szCs w:val="24"/>
              </w:rPr>
              <w:t>Description of the courses offered in a foreign language in the academic year 2019/2020</w:t>
            </w:r>
          </w:p>
        </w:tc>
      </w:tr>
      <w:tr w:rsidR="003D7297" w:rsidRPr="00215438" w:rsidTr="00215438">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Name of the course</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b/>
                <w:sz w:val="24"/>
                <w:szCs w:val="24"/>
                <w:lang w:val="fr-FR"/>
              </w:rPr>
              <w:t>Littérature dans</w:t>
            </w:r>
            <w:r>
              <w:rPr>
                <w:rFonts w:ascii="Times New Roman" w:hAnsi="Times New Roman" w:cs="Times New Roman"/>
                <w:b/>
                <w:sz w:val="24"/>
                <w:szCs w:val="24"/>
                <w:lang w:val="fr-FR"/>
              </w:rPr>
              <w:t xml:space="preserve"> lʼenseignement du français comme L2</w:t>
            </w:r>
          </w:p>
        </w:tc>
      </w:tr>
      <w:tr w:rsidR="003D7297" w:rsidTr="00215438">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Name of the teacher</w:t>
            </w:r>
          </w:p>
        </w:tc>
        <w:tc>
          <w:tcPr>
            <w:tcW w:w="6845" w:type="dxa"/>
            <w:gridSpan w:val="9"/>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Frano Vrančić</w:t>
            </w:r>
          </w:p>
        </w:tc>
      </w:tr>
      <w:tr w:rsidR="003D7297" w:rsidTr="00215438">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Number of ECTS credits</w:t>
            </w:r>
          </w:p>
        </w:tc>
        <w:tc>
          <w:tcPr>
            <w:tcW w:w="2194" w:type="dxa"/>
            <w:gridSpan w:val="2"/>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3</w:t>
            </w:r>
          </w:p>
        </w:tc>
        <w:tc>
          <w:tcPr>
            <w:tcW w:w="1628" w:type="dxa"/>
            <w:gridSpan w:val="2"/>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24"/>
                <w:szCs w:val="24"/>
              </w:rPr>
              <w:t>Semester</w:t>
            </w:r>
          </w:p>
        </w:tc>
        <w:tc>
          <w:tcPr>
            <w:tcW w:w="3027" w:type="dxa"/>
            <w:gridSpan w:val="5"/>
            <w:tcBorders>
              <w:top w:val="single" w:sz="12" w:space="0" w:color="00000A"/>
              <w:left w:val="single" w:sz="4" w:space="0" w:color="00000A"/>
              <w:bottom w:val="single" w:sz="4" w:space="0" w:color="00000A"/>
              <w:right w:val="single" w:sz="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40"/>
                <w:szCs w:val="40"/>
              </w:rPr>
              <w:t>x□</w:t>
            </w:r>
          </w:p>
          <w:p w:rsidR="003D7297" w:rsidRDefault="00FF7EC3">
            <w:pPr>
              <w:pStyle w:val="Standard"/>
              <w:spacing w:after="0" w:line="240" w:lineRule="auto"/>
            </w:pPr>
            <w:r>
              <w:rPr>
                <w:rFonts w:ascii="Times New Roman" w:hAnsi="Times New Roman" w:cs="Times New Roman"/>
                <w:sz w:val="24"/>
                <w:szCs w:val="24"/>
              </w:rPr>
              <w:t>autumn/winter</w:t>
            </w:r>
          </w:p>
        </w:tc>
      </w:tr>
      <w:tr w:rsidR="003D7297" w:rsidTr="00215438">
        <w:tblPrEx>
          <w:tblCellMar>
            <w:top w:w="0" w:type="dxa"/>
            <w:bottom w:w="0" w:type="dxa"/>
          </w:tblCellMar>
        </w:tblPrEx>
        <w:tc>
          <w:tcPr>
            <w:tcW w:w="2518"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Teaching will be organized as</w:t>
            </w:r>
          </w:p>
        </w:tc>
        <w:tc>
          <w:tcPr>
            <w:tcW w:w="1360" w:type="dxa"/>
            <w:tcBorders>
              <w:top w:val="single" w:sz="12" w:space="0" w:color="00000A"/>
              <w:left w:val="single" w:sz="12" w:space="0" w:color="00000A"/>
              <w:bottom w:val="single" w:sz="4" w:space="0" w:color="00000A"/>
              <w:right w:val="single" w:sz="4"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24"/>
                <w:szCs w:val="24"/>
              </w:rPr>
              <w:t>Lectures</w:t>
            </w:r>
          </w:p>
        </w:tc>
        <w:tc>
          <w:tcPr>
            <w:tcW w:w="2624" w:type="dxa"/>
            <w:gridSpan w:val="4"/>
            <w:tcBorders>
              <w:top w:val="single" w:sz="12" w:space="0" w:color="00000A"/>
              <w:left w:val="single" w:sz="4" w:space="0" w:color="00000A"/>
              <w:bottom w:val="single" w:sz="4"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c>
          <w:tcPr>
            <w:tcW w:w="2238" w:type="dxa"/>
            <w:gridSpan w:val="2"/>
            <w:tcBorders>
              <w:top w:val="single" w:sz="12" w:space="0" w:color="00000A"/>
              <w:left w:val="single" w:sz="12" w:space="0" w:color="00000A"/>
              <w:bottom w:val="single" w:sz="4" w:space="0" w:color="00000A"/>
              <w:right w:val="single" w:sz="4"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24"/>
                <w:szCs w:val="24"/>
              </w:rPr>
              <w:t>Consultations</w:t>
            </w:r>
          </w:p>
        </w:tc>
        <w:tc>
          <w:tcPr>
            <w:tcW w:w="627" w:type="dxa"/>
            <w:gridSpan w:val="2"/>
            <w:tcBorders>
              <w:top w:val="single" w:sz="12" w:space="0" w:color="00000A"/>
              <w:left w:val="single" w:sz="4" w:space="0" w:color="00000A"/>
              <w:bottom w:val="single" w:sz="4"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D7297" w:rsidTr="00215438">
        <w:tblPrEx>
          <w:tblCellMar>
            <w:top w:w="0" w:type="dxa"/>
            <w:bottom w:w="0" w:type="dxa"/>
          </w:tblCellMar>
        </w:tblPrEx>
        <w:trPr>
          <w:trHeight w:val="278"/>
        </w:trPr>
        <w:tc>
          <w:tcPr>
            <w:tcW w:w="2518" w:type="dxa"/>
            <w:vMerge w:val="restart"/>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The courses will be organized as</w:t>
            </w:r>
          </w:p>
        </w:tc>
        <w:tc>
          <w:tcPr>
            <w:tcW w:w="2835" w:type="dxa"/>
            <w:gridSpan w:val="3"/>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24"/>
                <w:szCs w:val="24"/>
              </w:rPr>
              <w:t>Lectures</w:t>
            </w:r>
          </w:p>
        </w:tc>
        <w:tc>
          <w:tcPr>
            <w:tcW w:w="3696" w:type="dxa"/>
            <w:gridSpan w:val="5"/>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Seminars</w:t>
            </w:r>
          </w:p>
        </w:tc>
        <w:tc>
          <w:tcPr>
            <w:tcW w:w="318"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Exercises</w:t>
            </w:r>
          </w:p>
        </w:tc>
      </w:tr>
      <w:tr w:rsidR="003D7297" w:rsidTr="00215438">
        <w:tblPrEx>
          <w:tblCellMar>
            <w:top w:w="0" w:type="dxa"/>
            <w:bottom w:w="0" w:type="dxa"/>
          </w:tblCellMar>
        </w:tblPrEx>
        <w:trPr>
          <w:trHeight w:val="277"/>
        </w:trPr>
        <w:tc>
          <w:tcPr>
            <w:tcW w:w="2518" w:type="dxa"/>
            <w:vMerge/>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FF7EC3"/>
        </w:tc>
        <w:tc>
          <w:tcPr>
            <w:tcW w:w="2835" w:type="dxa"/>
            <w:gridSpan w:val="3"/>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c>
          <w:tcPr>
            <w:tcW w:w="3696" w:type="dxa"/>
            <w:gridSpan w:val="5"/>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c>
          <w:tcPr>
            <w:tcW w:w="318"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pPr>
            <w:r>
              <w:rPr>
                <w:rFonts w:ascii="Times New Roman" w:hAnsi="Times New Roman" w:cs="Times New Roman"/>
                <w:sz w:val="40"/>
                <w:szCs w:val="40"/>
              </w:rPr>
              <w:t xml:space="preserve">□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D7297" w:rsidRPr="00215438" w:rsidTr="00215438">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Description of the course</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jc w:val="both"/>
              <w:rPr>
                <w:shd w:val="clear" w:color="auto" w:fill="FFFFFF"/>
              </w:rPr>
            </w:pPr>
            <w:r>
              <w:rPr>
                <w:rFonts w:ascii="Times New Roman" w:hAnsi="Times New Roman" w:cs="Times New Roman"/>
                <w:sz w:val="24"/>
                <w:szCs w:val="24"/>
                <w:shd w:val="clear" w:color="auto" w:fill="FFFFFF"/>
                <w:lang w:val="fr-FR"/>
              </w:rPr>
              <w:t xml:space="preserve">Ce cursus fournit aux étudiants lʼopportunité de faire connaissance, en théorie et en pratique, avec la façon dont est enseignée et </w:t>
            </w:r>
            <w:r>
              <w:rPr>
                <w:rFonts w:ascii="Times New Roman" w:hAnsi="Times New Roman" w:cs="Times New Roman"/>
                <w:sz w:val="24"/>
                <w:szCs w:val="24"/>
                <w:shd w:val="clear" w:color="auto" w:fill="FFFFFF"/>
                <w:lang w:val="fr-FR"/>
              </w:rPr>
              <w:t>appliquée la littérature en classe de Français Langue Étrangère et de mieux connaître la place quʼelle occupe au programme de lʼenseignement croato-français des lycées bilingues. Les étudiants auront également lʼoccasion dʼapprofondir leurs connaissances s</w:t>
            </w:r>
            <w:r>
              <w:rPr>
                <w:rFonts w:ascii="Times New Roman" w:hAnsi="Times New Roman" w:cs="Times New Roman"/>
                <w:sz w:val="24"/>
                <w:szCs w:val="24"/>
                <w:shd w:val="clear" w:color="auto" w:fill="FFFFFF"/>
                <w:lang w:val="fr-FR"/>
              </w:rPr>
              <w:t xml:space="preserve">ur divers genres littéraires, ce qui leur sera dʼune grande utilité dans lʼenseignement du français comme L2. Outre les contes de fée et les fables, un accent particulier sera mis sur les genres majeurs, notamment la poésie, le roman et le théâtre. Enfin, </w:t>
            </w:r>
            <w:r>
              <w:rPr>
                <w:rFonts w:ascii="Times New Roman" w:hAnsi="Times New Roman" w:cs="Times New Roman"/>
                <w:sz w:val="24"/>
                <w:szCs w:val="24"/>
                <w:shd w:val="clear" w:color="auto" w:fill="FFFFFF"/>
                <w:lang w:val="fr-FR"/>
              </w:rPr>
              <w:t xml:space="preserve">les étudiants auront la possibilité de donner un cours devant leurs collègues en utilisant toutes les richesses des textes du genre littéraire choisi.  </w:t>
            </w:r>
          </w:p>
        </w:tc>
      </w:tr>
      <w:tr w:rsidR="003D7297" w:rsidRPr="00215438" w:rsidTr="00215438">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Learning outcomes of the course</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jc w:val="both"/>
              <w:rPr>
                <w:shd w:val="clear" w:color="auto" w:fill="FFFFFF"/>
              </w:rPr>
            </w:pPr>
            <w:r>
              <w:rPr>
                <w:rFonts w:ascii="Times New Roman" w:hAnsi="Times New Roman" w:cs="Times New Roman"/>
                <w:sz w:val="24"/>
                <w:szCs w:val="24"/>
                <w:shd w:val="clear" w:color="auto" w:fill="FFFFFF"/>
                <w:lang w:val="fr-FR"/>
              </w:rPr>
              <w:t xml:space="preserve">Après avoir réussi l’épreuve en </w:t>
            </w:r>
            <w:r>
              <w:rPr>
                <w:rFonts w:ascii="Times New Roman" w:hAnsi="Times New Roman" w:cs="Times New Roman"/>
                <w:i/>
                <w:iCs/>
                <w:sz w:val="24"/>
                <w:szCs w:val="24"/>
                <w:shd w:val="clear" w:color="auto" w:fill="FFFFFF"/>
                <w:lang w:val="fr-FR"/>
              </w:rPr>
              <w:t xml:space="preserve">Littérature dans l’enseignement du </w:t>
            </w:r>
            <w:r>
              <w:rPr>
                <w:rFonts w:ascii="Times New Roman" w:hAnsi="Times New Roman" w:cs="Times New Roman"/>
                <w:i/>
                <w:iCs/>
                <w:sz w:val="24"/>
                <w:szCs w:val="24"/>
                <w:shd w:val="clear" w:color="auto" w:fill="FFFFFF"/>
                <w:lang w:val="fr-FR"/>
              </w:rPr>
              <w:t>français comme L2</w:t>
            </w:r>
            <w:r>
              <w:rPr>
                <w:rFonts w:ascii="Times New Roman" w:hAnsi="Times New Roman" w:cs="Times New Roman"/>
                <w:sz w:val="24"/>
                <w:szCs w:val="24"/>
                <w:shd w:val="clear" w:color="auto" w:fill="FFFFFF"/>
                <w:lang w:val="fr-FR"/>
              </w:rPr>
              <w:t xml:space="preserve">, les étudiants seront en mesure de planifier et de </w:t>
            </w:r>
            <w:r>
              <w:rPr>
                <w:rFonts w:ascii="Times New Roman" w:hAnsi="Times New Roman" w:cs="Times New Roman"/>
                <w:sz w:val="24"/>
                <w:szCs w:val="24"/>
                <w:shd w:val="clear" w:color="auto" w:fill="FFFFFF"/>
                <w:lang w:val="fr-FR"/>
              </w:rPr>
              <w:lastRenderedPageBreak/>
              <w:t xml:space="preserve">donner un cours en littérature française jusqu’au niveau B2-C1 en se servant des textes adaptés de la littérature française. Chaque étudiant sera capable de créer des fiches pédagogiques </w:t>
            </w:r>
            <w:r>
              <w:rPr>
                <w:rFonts w:ascii="Times New Roman" w:hAnsi="Times New Roman" w:cs="Times New Roman"/>
                <w:sz w:val="24"/>
                <w:szCs w:val="24"/>
                <w:shd w:val="clear" w:color="auto" w:fill="FFFFFF"/>
                <w:lang w:val="fr-FR"/>
              </w:rPr>
              <w:t xml:space="preserve">pour la classe.  </w:t>
            </w:r>
          </w:p>
        </w:tc>
      </w:tr>
      <w:tr w:rsidR="003D7297" w:rsidTr="00215438">
        <w:tblPrEx>
          <w:tblCellMar>
            <w:top w:w="0" w:type="dxa"/>
            <w:bottom w:w="0" w:type="dxa"/>
          </w:tblCellMar>
        </w:tblPrEx>
        <w:trPr>
          <w:trHeight w:val="144"/>
        </w:trPr>
        <w:tc>
          <w:tcPr>
            <w:tcW w:w="2518"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lastRenderedPageBreak/>
              <w:t>The course is offered to</w:t>
            </w:r>
          </w:p>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Incoming students who choose the above department as a home department</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D7297" w:rsidTr="00215438">
        <w:tblPrEx>
          <w:tblCellMar>
            <w:top w:w="0" w:type="dxa"/>
            <w:bottom w:w="0" w:type="dxa"/>
          </w:tblCellMar>
        </w:tblPrEx>
        <w:trPr>
          <w:trHeight w:val="142"/>
        </w:trPr>
        <w:tc>
          <w:tcPr>
            <w:tcW w:w="2518" w:type="dxa"/>
            <w:vMerge/>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FF7EC3"/>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All the incoming students</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D7297" w:rsidTr="00215438">
        <w:tblPrEx>
          <w:tblCellMar>
            <w:top w:w="0" w:type="dxa"/>
            <w:bottom w:w="0" w:type="dxa"/>
          </w:tblCellMar>
        </w:tblPrEx>
        <w:trPr>
          <w:trHeight w:val="142"/>
        </w:trPr>
        <w:tc>
          <w:tcPr>
            <w:tcW w:w="2518" w:type="dxa"/>
            <w:vMerge/>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FF7EC3"/>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 xml:space="preserve">Students of the University of Zadar enrolled at the above department as an </w:t>
            </w:r>
            <w:r>
              <w:rPr>
                <w:rFonts w:ascii="Times New Roman" w:hAnsi="Times New Roman" w:cs="Times New Roman"/>
                <w:sz w:val="24"/>
                <w:szCs w:val="24"/>
              </w:rPr>
              <w:t>elective course</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D7297" w:rsidTr="00215438">
        <w:tblPrEx>
          <w:tblCellMar>
            <w:top w:w="0" w:type="dxa"/>
            <w:bottom w:w="0" w:type="dxa"/>
          </w:tblCellMar>
        </w:tblPrEx>
        <w:trPr>
          <w:trHeight w:val="142"/>
        </w:trPr>
        <w:tc>
          <w:tcPr>
            <w:tcW w:w="2518" w:type="dxa"/>
            <w:vMerge/>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FF7EC3"/>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D7297" w:rsidRDefault="00FF7EC3">
            <w:pPr>
              <w:pStyle w:val="Standard"/>
              <w:spacing w:after="0" w:line="240" w:lineRule="auto"/>
            </w:pPr>
            <w:r>
              <w:rPr>
                <w:rFonts w:ascii="Times New Roman" w:hAnsi="Times New Roman" w:cs="Times New Roman"/>
                <w:sz w:val="24"/>
                <w:szCs w:val="24"/>
              </w:rPr>
              <w:t>All the students of the University of Zadar as an elective course</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D7297" w:rsidRDefault="00FF7EC3">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bl>
    <w:p w:rsidR="003D7297" w:rsidRDefault="003D7297">
      <w:pPr>
        <w:pStyle w:val="Standard"/>
      </w:pPr>
    </w:p>
    <w:sectPr w:rsidR="003D729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C3" w:rsidRDefault="00FF7EC3">
      <w:pPr>
        <w:spacing w:after="0" w:line="240" w:lineRule="auto"/>
      </w:pPr>
      <w:r>
        <w:separator/>
      </w:r>
    </w:p>
  </w:endnote>
  <w:endnote w:type="continuationSeparator" w:id="0">
    <w:p w:rsidR="00FF7EC3" w:rsidRDefault="00FF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C3" w:rsidRDefault="00FF7EC3">
      <w:pPr>
        <w:spacing w:after="0" w:line="240" w:lineRule="auto"/>
      </w:pPr>
      <w:r>
        <w:rPr>
          <w:color w:val="000000"/>
        </w:rPr>
        <w:separator/>
      </w:r>
    </w:p>
  </w:footnote>
  <w:footnote w:type="continuationSeparator" w:id="0">
    <w:p w:rsidR="00FF7EC3" w:rsidRDefault="00FF7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D7297"/>
    <w:rsid w:val="00215438"/>
    <w:rsid w:val="003D7297"/>
    <w:rsid w:val="00FF7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29632-56BA-40C9-B0A1-6CC0693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lang w:val="hr-H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mbahnik@unizd.hr</cp:lastModifiedBy>
  <cp:revision>1</cp:revision>
  <dcterms:created xsi:type="dcterms:W3CDTF">2018-10-05T16:01:00Z</dcterms:created>
  <dcterms:modified xsi:type="dcterms:W3CDTF">2022-12-01T09:04:00Z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