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BA764F" w:rsidRPr="006E0223" w:rsidTr="00133ECE">
        <w:tc>
          <w:tcPr>
            <w:tcW w:w="9062" w:type="dxa"/>
            <w:gridSpan w:val="2"/>
            <w:shd w:val="clear" w:color="auto" w:fill="DEEAF6" w:themeFill="accent1" w:themeFillTint="33"/>
          </w:tcPr>
          <w:p w:rsidR="00BA764F" w:rsidRPr="00AC4CBF" w:rsidRDefault="00BA764F" w:rsidP="00133ECE">
            <w:pPr>
              <w:spacing w:line="360" w:lineRule="auto"/>
              <w:jc w:val="center"/>
              <w:rPr>
                <w:rFonts w:ascii="Arial" w:eastAsiaTheme="minorEastAsia" w:hAnsi="Arial" w:cs="Arial"/>
                <w:b/>
                <w:bCs/>
                <w:kern w:val="24"/>
              </w:rPr>
            </w:pPr>
            <w:r w:rsidRPr="00AC4CBF">
              <w:rPr>
                <w:rStyle w:val="A4"/>
                <w:rFonts w:ascii="Arial" w:hAnsi="Arial" w:cs="Arial"/>
                <w:b/>
                <w:sz w:val="24"/>
                <w:szCs w:val="24"/>
              </w:rPr>
              <w:t>Stage d'étudiants</w:t>
            </w:r>
          </w:p>
        </w:tc>
      </w:tr>
      <w:tr w:rsidR="00BA764F" w:rsidRPr="006E0223" w:rsidTr="00133ECE">
        <w:tc>
          <w:tcPr>
            <w:tcW w:w="2405" w:type="dxa"/>
          </w:tcPr>
          <w:p w:rsidR="00BA764F" w:rsidRPr="006E0223" w:rsidRDefault="00BA764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BA764F" w:rsidRPr="006E0223" w:rsidRDefault="00BA764F" w:rsidP="00133ECE">
            <w:pPr>
              <w:spacing w:line="360" w:lineRule="auto"/>
              <w:rPr>
                <w:rFonts w:ascii="Arial" w:eastAsiaTheme="minorEastAsia" w:hAnsi="Arial" w:cs="Arial"/>
                <w:b/>
                <w:bCs/>
                <w:kern w:val="24"/>
              </w:rPr>
            </w:pPr>
            <w:r>
              <w:rPr>
                <w:rFonts w:ascii="Arial" w:eastAsiaTheme="minorEastAsia" w:hAnsi="Arial" w:cs="Arial"/>
                <w:b/>
                <w:bCs/>
                <w:kern w:val="24"/>
              </w:rPr>
              <w:t>4</w:t>
            </w:r>
          </w:p>
        </w:tc>
      </w:tr>
      <w:tr w:rsidR="00BA764F" w:rsidRPr="006E0223" w:rsidTr="00133ECE">
        <w:tc>
          <w:tcPr>
            <w:tcW w:w="2405" w:type="dxa"/>
          </w:tcPr>
          <w:p w:rsidR="00BA764F" w:rsidRPr="006E0223" w:rsidRDefault="00BA764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BA764F" w:rsidRPr="006E0223" w:rsidRDefault="00BA764F" w:rsidP="00133ECE">
            <w:pPr>
              <w:spacing w:line="360" w:lineRule="auto"/>
              <w:rPr>
                <w:rFonts w:ascii="Arial" w:eastAsiaTheme="minorEastAsia" w:hAnsi="Arial" w:cs="Arial"/>
                <w:bCs/>
                <w:kern w:val="24"/>
              </w:rPr>
            </w:pPr>
            <w:r>
              <w:rPr>
                <w:rFonts w:ascii="Arial" w:eastAsiaTheme="minorEastAsia" w:hAnsi="Arial" w:cs="Arial"/>
                <w:bCs/>
                <w:kern w:val="24"/>
              </w:rPr>
              <w:t>30 heures au total</w:t>
            </w:r>
          </w:p>
        </w:tc>
      </w:tr>
      <w:tr w:rsidR="00BA764F" w:rsidRPr="006E0223" w:rsidTr="00133ECE">
        <w:tc>
          <w:tcPr>
            <w:tcW w:w="2405" w:type="dxa"/>
          </w:tcPr>
          <w:p w:rsidR="00BA764F" w:rsidRPr="006E0223" w:rsidRDefault="00BA764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BA764F" w:rsidRPr="00AC4CBF" w:rsidRDefault="00BA764F" w:rsidP="0013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hr-HR"/>
              </w:rPr>
            </w:pPr>
            <w:r w:rsidRPr="00AC4CBF">
              <w:rPr>
                <w:rFonts w:ascii="Arial" w:eastAsia="Times New Roman" w:hAnsi="Arial" w:cs="Arial"/>
                <w:color w:val="212121"/>
                <w:lang w:eastAsia="hr-HR"/>
              </w:rPr>
              <w:t>Les étudiants acquièrent les compétences suivantes (toutes ou en partie, selon l’institution ou l’entreprise dans laquelle le stage a lieu):</w:t>
            </w:r>
          </w:p>
          <w:p w:rsidR="00BA764F" w:rsidRPr="00AC4CBF" w:rsidRDefault="00BA764F" w:rsidP="0013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hr-HR"/>
              </w:rPr>
            </w:pPr>
            <w:r w:rsidRPr="00AC4CBF">
              <w:rPr>
                <w:rFonts w:ascii="Arial" w:eastAsia="Times New Roman" w:hAnsi="Arial" w:cs="Arial"/>
                <w:color w:val="212121"/>
                <w:lang w:eastAsia="hr-HR"/>
              </w:rPr>
              <w:t>1) prendre connaissance du travail dans le secteur de traduction (établissements nationaux et internationaux)</w:t>
            </w:r>
          </w:p>
          <w:p w:rsidR="00BA764F" w:rsidRPr="00AC4CBF" w:rsidRDefault="00BA764F" w:rsidP="0013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hr-HR"/>
              </w:rPr>
            </w:pPr>
            <w:r w:rsidRPr="00AC4CBF">
              <w:rPr>
                <w:rFonts w:ascii="Arial" w:eastAsia="Times New Roman" w:hAnsi="Arial" w:cs="Arial"/>
                <w:color w:val="212121"/>
                <w:lang w:eastAsia="hr-HR"/>
              </w:rPr>
              <w:t>2) acquérir des compétences liées au service de traduction (besoins du marché, communication avec des clients, négociation des conditions de travail, planification et organisation du travail, respect des délais et des engagements, travail en équipe, auto-évaluation)</w:t>
            </w:r>
          </w:p>
          <w:p w:rsidR="00BA764F" w:rsidRPr="00AC4CBF" w:rsidRDefault="00BA764F" w:rsidP="0013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hr-HR"/>
              </w:rPr>
            </w:pPr>
            <w:r w:rsidRPr="00AC4CBF">
              <w:rPr>
                <w:rFonts w:ascii="Arial" w:eastAsia="Times New Roman" w:hAnsi="Arial" w:cs="Arial"/>
                <w:color w:val="212121"/>
                <w:lang w:eastAsia="hr-HR"/>
              </w:rPr>
              <w:t>3) appliquer des connaissances théoriques dans la pratique de la traduction de différents types de textes</w:t>
            </w:r>
          </w:p>
          <w:p w:rsidR="00BA764F" w:rsidRPr="00AC4CBF" w:rsidRDefault="00BA764F" w:rsidP="0013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hr-HR"/>
              </w:rPr>
            </w:pPr>
            <w:r w:rsidRPr="00AC4CBF">
              <w:rPr>
                <w:rFonts w:ascii="Arial" w:eastAsia="Times New Roman" w:hAnsi="Arial" w:cs="Arial"/>
                <w:color w:val="212121"/>
                <w:lang w:eastAsia="hr-HR"/>
              </w:rPr>
              <w:t>4) perfectionner les compétences linguistiques, sociolinguistiques et interculturelles</w:t>
            </w:r>
          </w:p>
          <w:p w:rsidR="00BA764F" w:rsidRPr="00AC4CBF" w:rsidRDefault="00BA764F" w:rsidP="0013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hr-HR"/>
              </w:rPr>
            </w:pPr>
            <w:r w:rsidRPr="00AC4CBF">
              <w:rPr>
                <w:rFonts w:ascii="Arial" w:eastAsia="Times New Roman" w:hAnsi="Arial" w:cs="Arial"/>
                <w:color w:val="212121"/>
                <w:lang w:eastAsia="hr-HR"/>
              </w:rPr>
              <w:t>5) perfectionner les compétences thématiques</w:t>
            </w:r>
          </w:p>
          <w:p w:rsidR="00BA764F" w:rsidRPr="00AC4CBF" w:rsidRDefault="00BA764F" w:rsidP="00133E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12121"/>
                <w:lang w:eastAsia="hr-HR"/>
              </w:rPr>
            </w:pPr>
            <w:r w:rsidRPr="00AC4CBF">
              <w:rPr>
                <w:rFonts w:ascii="Arial" w:eastAsia="Times New Roman" w:hAnsi="Arial" w:cs="Arial"/>
                <w:color w:val="212121"/>
                <w:lang w:eastAsia="hr-HR"/>
              </w:rPr>
              <w:t>6) perfectionner les compétences relatives à l’accès aux informations requises, leur traitement et leur utilisation en traduction</w:t>
            </w:r>
          </w:p>
          <w:p w:rsidR="00BA764F" w:rsidRPr="00AC4CBF" w:rsidRDefault="00BA764F" w:rsidP="00133ECE">
            <w:pPr>
              <w:rPr>
                <w:rFonts w:ascii="Arial" w:eastAsiaTheme="minorEastAsia" w:hAnsi="Arial" w:cs="Arial"/>
                <w:b/>
                <w:bCs/>
                <w:kern w:val="24"/>
              </w:rPr>
            </w:pPr>
            <w:r w:rsidRPr="00AC4CBF">
              <w:rPr>
                <w:rFonts w:ascii="Arial" w:eastAsia="Times New Roman" w:hAnsi="Arial" w:cs="Arial"/>
                <w:color w:val="212121"/>
                <w:lang w:eastAsia="hr-HR"/>
              </w:rPr>
              <w:t>7) perfectionner les compétences technologiques (utilisation de divers outils informatiques)</w:t>
            </w:r>
          </w:p>
        </w:tc>
      </w:tr>
      <w:tr w:rsidR="00BA764F" w:rsidRPr="006E0223" w:rsidTr="00133ECE">
        <w:tc>
          <w:tcPr>
            <w:tcW w:w="2405" w:type="dxa"/>
          </w:tcPr>
          <w:p w:rsidR="00BA764F" w:rsidRPr="006E0223" w:rsidRDefault="00BA764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rsidR="00BA764F" w:rsidRPr="00AC4CBF" w:rsidRDefault="00BA764F" w:rsidP="00133ECE">
            <w:pPr>
              <w:rPr>
                <w:rFonts w:ascii="Arial" w:eastAsiaTheme="minorEastAsia" w:hAnsi="Arial" w:cs="Arial"/>
                <w:bCs/>
                <w:kern w:val="24"/>
              </w:rPr>
            </w:pPr>
            <w:r w:rsidRPr="00AC4CBF">
              <w:rPr>
                <w:rFonts w:ascii="Arial" w:hAnsi="Arial" w:cs="Arial"/>
                <w:color w:val="212121"/>
                <w:shd w:val="clear" w:color="auto" w:fill="FFFFFF"/>
              </w:rPr>
              <w:t>L'étudiant effectue un stage dans un établissement national ou international, proposé ou approuvé par un enseignant. Le stage correspond à 30 heures de travail. À la fin du stage, le responsable des stages dans l’établissement d’accueil rédige un rapport détaillant les activités et les résultats obtenus sous forme de traductions (10 feuillets).</w:t>
            </w:r>
          </w:p>
        </w:tc>
      </w:tr>
      <w:tr w:rsidR="00BA764F" w:rsidRPr="006E0223" w:rsidTr="00133ECE">
        <w:tc>
          <w:tcPr>
            <w:tcW w:w="2405" w:type="dxa"/>
          </w:tcPr>
          <w:p w:rsidR="00BA764F" w:rsidRPr="006E0223" w:rsidRDefault="00BA764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Modalités de contrôle des connaissances</w:t>
            </w:r>
          </w:p>
        </w:tc>
        <w:tc>
          <w:tcPr>
            <w:tcW w:w="6657" w:type="dxa"/>
          </w:tcPr>
          <w:p w:rsidR="00BA764F" w:rsidRPr="00AC4CBF" w:rsidRDefault="00BA764F" w:rsidP="00133ECE">
            <w:pPr>
              <w:rPr>
                <w:rFonts w:ascii="Arial" w:eastAsiaTheme="minorEastAsia" w:hAnsi="Arial" w:cs="Arial"/>
                <w:bCs/>
                <w:kern w:val="24"/>
              </w:rPr>
            </w:pPr>
            <w:r w:rsidRPr="00AC4CBF">
              <w:rPr>
                <w:rFonts w:ascii="Arial" w:eastAsiaTheme="minorEastAsia" w:hAnsi="Arial" w:cs="Arial"/>
                <w:bCs/>
                <w:kern w:val="24"/>
              </w:rPr>
              <w:t>rapport final</w:t>
            </w:r>
          </w:p>
        </w:tc>
      </w:tr>
      <w:tr w:rsidR="00BA764F" w:rsidRPr="006E0223" w:rsidTr="00133ECE">
        <w:tc>
          <w:tcPr>
            <w:tcW w:w="2405" w:type="dxa"/>
          </w:tcPr>
          <w:p w:rsidR="00BA764F" w:rsidRPr="006E0223" w:rsidRDefault="00BA764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Bibliographie</w:t>
            </w:r>
          </w:p>
        </w:tc>
        <w:tc>
          <w:tcPr>
            <w:tcW w:w="6657" w:type="dxa"/>
          </w:tcPr>
          <w:p w:rsidR="00BA764F" w:rsidRPr="00AC4CBF" w:rsidRDefault="00BA764F" w:rsidP="00133ECE">
            <w:pPr>
              <w:spacing w:line="360" w:lineRule="auto"/>
              <w:rPr>
                <w:rFonts w:ascii="Arial" w:eastAsiaTheme="minorEastAsia" w:hAnsi="Arial" w:cs="Arial"/>
                <w:bCs/>
                <w:kern w:val="24"/>
              </w:rPr>
            </w:pPr>
            <w:r w:rsidRPr="00AC4CBF">
              <w:rPr>
                <w:rFonts w:ascii="Arial" w:eastAsiaTheme="minorEastAsia" w:hAnsi="Arial" w:cs="Arial"/>
                <w:bCs/>
                <w:kern w:val="24"/>
              </w:rPr>
              <w:t>/</w:t>
            </w:r>
          </w:p>
        </w:tc>
      </w:tr>
      <w:tr w:rsidR="00BA764F" w:rsidRPr="006E0223" w:rsidTr="00133ECE">
        <w:tc>
          <w:tcPr>
            <w:tcW w:w="2405" w:type="dxa"/>
          </w:tcPr>
          <w:p w:rsidR="00BA764F" w:rsidRPr="006E0223" w:rsidRDefault="00BA764F"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Responsable (nom et adresse mail)</w:t>
            </w:r>
          </w:p>
        </w:tc>
        <w:tc>
          <w:tcPr>
            <w:tcW w:w="6657" w:type="dxa"/>
          </w:tcPr>
          <w:p w:rsidR="00BA764F" w:rsidRPr="00EA7576" w:rsidRDefault="00BA764F" w:rsidP="00133ECE">
            <w:pPr>
              <w:rPr>
                <w:rFonts w:ascii="Arial" w:eastAsiaTheme="minorEastAsia" w:hAnsi="Arial" w:cs="Arial"/>
                <w:bCs/>
                <w:kern w:val="24"/>
              </w:rPr>
            </w:pPr>
            <w:r w:rsidRPr="00EA7576">
              <w:rPr>
                <w:rFonts w:ascii="Arial" w:eastAsiaTheme="minorEastAsia" w:hAnsi="Arial" w:cs="Arial"/>
                <w:bCs/>
                <w:kern w:val="24"/>
              </w:rPr>
              <w:t xml:space="preserve">Vanda </w:t>
            </w:r>
            <w:proofErr w:type="spellStart"/>
            <w:r w:rsidRPr="00EA7576">
              <w:rPr>
                <w:rFonts w:ascii="Arial" w:eastAsiaTheme="minorEastAsia" w:hAnsi="Arial" w:cs="Arial"/>
                <w:bCs/>
                <w:kern w:val="24"/>
              </w:rPr>
              <w:t>Mikšić</w:t>
            </w:r>
            <w:proofErr w:type="spellEnd"/>
          </w:p>
          <w:p w:rsidR="00BA764F" w:rsidRPr="00EA7576" w:rsidRDefault="00BA764F" w:rsidP="00133ECE">
            <w:pPr>
              <w:rPr>
                <w:rFonts w:ascii="Arial" w:eastAsiaTheme="minorEastAsia" w:hAnsi="Arial" w:cs="Arial"/>
                <w:bCs/>
                <w:kern w:val="24"/>
              </w:rPr>
            </w:pPr>
            <w:r w:rsidRPr="00EA7576">
              <w:rPr>
                <w:rFonts w:ascii="Arial" w:eastAsiaTheme="minorEastAsia" w:hAnsi="Arial" w:cs="Arial"/>
                <w:bCs/>
                <w:kern w:val="24"/>
              </w:rPr>
              <w:t>vmiksic@unizd.hr</w:t>
            </w:r>
          </w:p>
          <w:p w:rsidR="00BA764F" w:rsidRPr="006E0223" w:rsidRDefault="00BA764F" w:rsidP="00133ECE">
            <w:pPr>
              <w:spacing w:line="360" w:lineRule="auto"/>
              <w:rPr>
                <w:rFonts w:ascii="Arial" w:eastAsiaTheme="minorEastAsia" w:hAnsi="Arial" w:cs="Arial"/>
                <w:b/>
                <w:bCs/>
                <w:kern w:val="24"/>
              </w:rPr>
            </w:pPr>
          </w:p>
        </w:tc>
      </w:tr>
    </w:tbl>
    <w:p w:rsidR="00726235" w:rsidRDefault="00726235">
      <w:bookmarkStart w:id="0" w:name="_GoBack"/>
      <w:bookmarkEnd w:id="0"/>
    </w:p>
    <w:sectPr w:rsidR="00726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4F"/>
    <w:rsid w:val="00726235"/>
    <w:rsid w:val="00BA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67D01-7CAE-40C7-B44D-19526AA4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64F"/>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764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BA764F"/>
    <w:rPr>
      <w:rFonts w:cs="EC Square Sans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2022-11-28T11:01:00Z</dcterms:created>
  <dcterms:modified xsi:type="dcterms:W3CDTF">2022-11-28T11:01:00Z</dcterms:modified>
</cp:coreProperties>
</file>