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59FB69B5" w14:textId="77777777" w:rsidR="006E0223" w:rsidRDefault="006E0223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NOM DU COURS</w:t>
            </w:r>
            <w:r w:rsidR="00133090">
              <w:rPr>
                <w:rFonts w:ascii="Arial" w:eastAsiaTheme="minorEastAsia" w:hAnsi="Arial" w:cs="Arial"/>
                <w:b/>
                <w:bCs/>
                <w:kern w:val="24"/>
              </w:rPr>
              <w:t> :</w:t>
            </w:r>
          </w:p>
          <w:p w14:paraId="698CB7EC" w14:textId="43354C00" w:rsidR="00133090" w:rsidRPr="006E0223" w:rsidRDefault="00F1699A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Syntaxe du français</w:t>
            </w:r>
          </w:p>
        </w:tc>
      </w:tr>
      <w:tr w:rsidR="006E0223" w:rsidRPr="006E0223" w14:paraId="195C59AF" w14:textId="5678CA2D" w:rsidTr="006E0223">
        <w:tc>
          <w:tcPr>
            <w:tcW w:w="2405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14:paraId="72F0FA55" w14:textId="2A755A19" w:rsidR="006E0223" w:rsidRPr="006E0223" w:rsidRDefault="00F1699A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5</w:t>
            </w:r>
          </w:p>
        </w:tc>
      </w:tr>
      <w:tr w:rsidR="006E0223" w:rsidRPr="006E0223" w14:paraId="3D5B611C" w14:textId="21C094DA" w:rsidTr="006E0223">
        <w:tc>
          <w:tcPr>
            <w:tcW w:w="2405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0160CAD5" w:rsidR="006E0223" w:rsidRPr="006E0223" w:rsidRDefault="00F1699A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</w:t>
            </w:r>
            <w:r w:rsidR="00133090">
              <w:rPr>
                <w:rFonts w:ascii="Arial" w:eastAsiaTheme="minorEastAsia" w:hAnsi="Arial" w:cs="Arial"/>
                <w:bCs/>
                <w:kern w:val="24"/>
              </w:rPr>
              <w:t xml:space="preserve"> CM +1 TD </w:t>
            </w:r>
          </w:p>
        </w:tc>
      </w:tr>
      <w:tr w:rsidR="006E0223" w:rsidRPr="006E0223" w14:paraId="7BCA1998" w14:textId="54803EF1" w:rsidTr="006E0223">
        <w:tc>
          <w:tcPr>
            <w:tcW w:w="2405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14:paraId="56FB8EC6" w14:textId="4BE968BA" w:rsidR="00F1699A" w:rsidRPr="00F1699A" w:rsidRDefault="00F1699A" w:rsidP="00F1699A">
            <w:pPr>
              <w:rPr>
                <w:rFonts w:ascii="Arial" w:hAnsi="Arial" w:cs="Arial"/>
                <w:lang w:val="hr-HR"/>
              </w:rPr>
            </w:pPr>
            <w:bookmarkStart w:id="0" w:name="_GoBack"/>
            <w:bookmarkEnd w:id="0"/>
            <w:r w:rsidRPr="00F1699A">
              <w:rPr>
                <w:rFonts w:ascii="Arial" w:hAnsi="Arial" w:cs="Arial"/>
              </w:rPr>
              <w:t>Le cours fait partie des compétence</w:t>
            </w:r>
            <w:r>
              <w:rPr>
                <w:rFonts w:ascii="Arial" w:hAnsi="Arial" w:cs="Arial"/>
              </w:rPr>
              <w:t xml:space="preserve">s linguistiques de base. </w:t>
            </w:r>
            <w:r w:rsidRPr="00F1699A">
              <w:rPr>
                <w:rFonts w:ascii="Arial" w:hAnsi="Arial" w:cs="Arial"/>
              </w:rPr>
              <w:t>Le cours comprend l</w:t>
            </w:r>
            <w:r>
              <w:rPr>
                <w:rFonts w:ascii="Arial" w:hAnsi="Arial" w:cs="Arial"/>
              </w:rPr>
              <w:t>a description et l'analyse de la</w:t>
            </w:r>
            <w:r w:rsidRPr="00F1699A">
              <w:rPr>
                <w:rFonts w:ascii="Arial" w:hAnsi="Arial" w:cs="Arial"/>
              </w:rPr>
              <w:t xml:space="preserve"> phrase simple et de ses parties de base (sujet, prédicat, objet). Le cours propose également une description et u</w:t>
            </w:r>
            <w:r>
              <w:rPr>
                <w:rFonts w:ascii="Arial" w:hAnsi="Arial" w:cs="Arial"/>
              </w:rPr>
              <w:t xml:space="preserve">ne analyse de la </w:t>
            </w:r>
            <w:r w:rsidRPr="00F1699A">
              <w:rPr>
                <w:rFonts w:ascii="Arial" w:hAnsi="Arial" w:cs="Arial"/>
              </w:rPr>
              <w:t xml:space="preserve">phrase complexe, de ses parties constitutives (proposition principale et </w:t>
            </w:r>
            <w:r>
              <w:rPr>
                <w:rFonts w:ascii="Arial" w:hAnsi="Arial" w:cs="Arial"/>
              </w:rPr>
              <w:t>subordonnée</w:t>
            </w:r>
            <w:r w:rsidRPr="00F1699A">
              <w:rPr>
                <w:rFonts w:ascii="Arial" w:hAnsi="Arial" w:cs="Arial"/>
              </w:rPr>
              <w:t xml:space="preserve">), ainsi qu'une division selon </w:t>
            </w:r>
            <w:r>
              <w:rPr>
                <w:rFonts w:ascii="Arial" w:hAnsi="Arial" w:cs="Arial"/>
              </w:rPr>
              <w:t xml:space="preserve">les </w:t>
            </w:r>
            <w:r w:rsidRPr="00F1699A">
              <w:rPr>
                <w:rFonts w:ascii="Arial" w:hAnsi="Arial" w:cs="Arial"/>
              </w:rPr>
              <w:t>différents modèles et approches</w:t>
            </w:r>
            <w:r>
              <w:rPr>
                <w:rFonts w:ascii="Arial" w:hAnsi="Arial" w:cs="Arial"/>
              </w:rPr>
              <w:t xml:space="preserve"> en linguistique</w:t>
            </w:r>
            <w:r w:rsidRPr="00F1699A">
              <w:rPr>
                <w:rFonts w:ascii="Arial" w:hAnsi="Arial" w:cs="Arial"/>
              </w:rPr>
              <w:t xml:space="preserve">. Une attention particulière est accordée aux éléments de connexion - les conjonctions et les expressions conjonctives, leurs fonctions et leurs valeurs, qui sont indiquées sur le tenseur binaire </w:t>
            </w:r>
            <w:r w:rsidRPr="00F1699A">
              <w:rPr>
                <w:rFonts w:ascii="Arial" w:hAnsi="Arial" w:cs="Arial"/>
              </w:rPr>
              <w:t>radical</w:t>
            </w:r>
            <w:r w:rsidRPr="00F1699A">
              <w:rPr>
                <w:rFonts w:ascii="Arial" w:hAnsi="Arial" w:cs="Arial"/>
              </w:rPr>
              <w:t xml:space="preserve">. </w:t>
            </w:r>
          </w:p>
        </w:tc>
      </w:tr>
      <w:tr w:rsidR="006E0223" w:rsidRPr="006E0223" w14:paraId="514509F3" w14:textId="0BA11900" w:rsidTr="006E0223">
        <w:tc>
          <w:tcPr>
            <w:tcW w:w="2405" w:type="dxa"/>
          </w:tcPr>
          <w:p w14:paraId="1344CBA4" w14:textId="42842710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14:paraId="7DE61CDB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1. </w:t>
            </w:r>
            <w:r w:rsidRPr="00F1699A">
              <w:rPr>
                <w:rFonts w:ascii="Arial" w:hAnsi="Arial" w:cs="Arial"/>
              </w:rPr>
              <w:t>Introduction : Structure de la phrase simple</w:t>
            </w:r>
          </w:p>
          <w:p w14:paraId="7FEDEFD2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hAnsi="Arial" w:cs="Arial"/>
              </w:rPr>
              <w:t>2. Structure fondamentale de la phrase</w:t>
            </w:r>
          </w:p>
          <w:p w14:paraId="66164BA4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3. </w:t>
            </w:r>
            <w:r w:rsidRPr="00F1699A">
              <w:rPr>
                <w:rFonts w:ascii="Arial" w:hAnsi="Arial" w:cs="Arial"/>
              </w:rPr>
              <w:t>Les constituants et les fonctions syntaxiques</w:t>
            </w:r>
          </w:p>
          <w:p w14:paraId="0060B244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4. </w:t>
            </w:r>
            <w:r w:rsidRPr="00F1699A">
              <w:rPr>
                <w:rFonts w:ascii="Arial" w:hAnsi="Arial" w:cs="Arial"/>
              </w:rPr>
              <w:t>Le verbe et ses compléments</w:t>
            </w:r>
          </w:p>
          <w:p w14:paraId="18A38C75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hAnsi="Arial" w:cs="Arial"/>
              </w:rPr>
              <w:t>5. Les compléments du verbe</w:t>
            </w:r>
          </w:p>
          <w:p w14:paraId="55502F5C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hAnsi="Arial" w:cs="Arial"/>
              </w:rPr>
              <w:t>6. La forme négative</w:t>
            </w:r>
          </w:p>
          <w:p w14:paraId="0035AFE1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7. </w:t>
            </w:r>
            <w:r w:rsidRPr="00F1699A">
              <w:rPr>
                <w:rFonts w:ascii="Arial" w:hAnsi="Arial" w:cs="Arial"/>
              </w:rPr>
              <w:t>1</w:t>
            </w:r>
            <w:r w:rsidRPr="00F1699A">
              <w:rPr>
                <w:rFonts w:ascii="Arial" w:hAnsi="Arial" w:cs="Arial"/>
                <w:vertAlign w:val="superscript"/>
              </w:rPr>
              <w:t>er</w:t>
            </w:r>
            <w:r w:rsidRPr="00F1699A">
              <w:rPr>
                <w:rFonts w:ascii="Arial" w:hAnsi="Arial" w:cs="Arial"/>
              </w:rPr>
              <w:t xml:space="preserve"> contrôle continu</w:t>
            </w:r>
          </w:p>
          <w:p w14:paraId="26A8ED0F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8. </w:t>
            </w:r>
            <w:r w:rsidRPr="00F1699A">
              <w:rPr>
                <w:rFonts w:ascii="Arial" w:hAnsi="Arial" w:cs="Arial"/>
              </w:rPr>
              <w:t>Phrase complexe - préliminaires</w:t>
            </w:r>
          </w:p>
          <w:p w14:paraId="399B1345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9. </w:t>
            </w:r>
            <w:r w:rsidRPr="00F1699A">
              <w:rPr>
                <w:rFonts w:ascii="Arial" w:eastAsia="Times New Roman" w:hAnsi="Arial" w:cs="Arial"/>
              </w:rPr>
              <w:t>Conjonctions de coordination</w:t>
            </w:r>
          </w:p>
          <w:p w14:paraId="0D3F167C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10. </w:t>
            </w:r>
            <w:r w:rsidRPr="00F1699A">
              <w:rPr>
                <w:rFonts w:ascii="Arial" w:eastAsia="Times New Roman" w:hAnsi="Arial" w:cs="Arial"/>
              </w:rPr>
              <w:t>Conjonctions de subordinations</w:t>
            </w:r>
          </w:p>
          <w:p w14:paraId="484E5369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11. </w:t>
            </w:r>
            <w:r w:rsidRPr="00F1699A">
              <w:rPr>
                <w:rFonts w:ascii="Arial" w:hAnsi="Arial" w:cs="Arial"/>
              </w:rPr>
              <w:t>Les classements ; Les essentielles</w:t>
            </w:r>
          </w:p>
          <w:p w14:paraId="7FE2BE1B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12. </w:t>
            </w:r>
            <w:r w:rsidRPr="00F1699A">
              <w:rPr>
                <w:rFonts w:ascii="Arial" w:hAnsi="Arial" w:cs="Arial"/>
              </w:rPr>
              <w:t>Les subordonnées directes 1</w:t>
            </w:r>
          </w:p>
          <w:p w14:paraId="38A3FF48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13. </w:t>
            </w:r>
            <w:r w:rsidRPr="00F1699A">
              <w:rPr>
                <w:rFonts w:ascii="Arial" w:hAnsi="Arial" w:cs="Arial"/>
              </w:rPr>
              <w:t>Les subordonnées directes 2</w:t>
            </w:r>
          </w:p>
          <w:p w14:paraId="06852F2C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</w:rPr>
            </w:pPr>
            <w:r w:rsidRPr="00F1699A">
              <w:rPr>
                <w:rFonts w:ascii="Arial" w:eastAsia="MS Gothic" w:hAnsi="Arial" w:cs="Arial"/>
              </w:rPr>
              <w:t xml:space="preserve">14. </w:t>
            </w:r>
            <w:r w:rsidRPr="00F1699A">
              <w:rPr>
                <w:rFonts w:ascii="Arial" w:hAnsi="Arial" w:cs="Arial"/>
              </w:rPr>
              <w:t>Les relatives</w:t>
            </w:r>
          </w:p>
          <w:p w14:paraId="3E48CB06" w14:textId="083A6D00" w:rsidR="00133090" w:rsidRPr="00F1699A" w:rsidRDefault="00133090" w:rsidP="00AF7A9C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MS Gothic" w:hAnsi="Arial" w:cs="Arial"/>
              </w:rPr>
              <w:t>15. 2</w:t>
            </w:r>
            <w:r w:rsidRPr="00F1699A">
              <w:rPr>
                <w:rFonts w:ascii="Arial" w:eastAsia="MS Gothic" w:hAnsi="Arial" w:cs="Arial"/>
                <w:vertAlign w:val="superscript"/>
              </w:rPr>
              <w:t>e</w:t>
            </w:r>
            <w:r w:rsidRPr="00F1699A">
              <w:rPr>
                <w:rFonts w:ascii="Arial" w:eastAsia="MS Gothic" w:hAnsi="Arial" w:cs="Arial"/>
              </w:rPr>
              <w:t xml:space="preserve"> contrôle continu</w:t>
            </w:r>
          </w:p>
        </w:tc>
      </w:tr>
      <w:tr w:rsidR="006E0223" w:rsidRPr="006E0223" w14:paraId="4B3E262E" w14:textId="09A17D99" w:rsidTr="006E0223">
        <w:tc>
          <w:tcPr>
            <w:tcW w:w="2405" w:type="dxa"/>
          </w:tcPr>
          <w:p w14:paraId="609B9208" w14:textId="22B3ABBD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4B516F4A" w:rsidR="006E0223" w:rsidRPr="00AF7A9C" w:rsidRDefault="00AF7A9C" w:rsidP="00F1699A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E</w:t>
            </w:r>
            <w:r w:rsidRPr="00AF7A9C">
              <w:rPr>
                <w:rFonts w:ascii="Arial" w:eastAsiaTheme="minorEastAsia" w:hAnsi="Arial" w:cs="Arial"/>
                <w:bCs/>
                <w:kern w:val="24"/>
              </w:rPr>
              <w:t xml:space="preserve">xamen </w:t>
            </w:r>
            <w:r w:rsidR="00F1699A">
              <w:rPr>
                <w:rFonts w:ascii="Arial" w:eastAsiaTheme="minorEastAsia" w:hAnsi="Arial" w:cs="Arial"/>
                <w:bCs/>
                <w:kern w:val="24"/>
              </w:rPr>
              <w:t>écrit</w:t>
            </w:r>
            <w:r w:rsidRPr="00AF7A9C">
              <w:rPr>
                <w:rFonts w:ascii="Arial" w:eastAsiaTheme="minorEastAsia" w:hAnsi="Arial" w:cs="Arial"/>
                <w:bCs/>
                <w:kern w:val="24"/>
              </w:rPr>
              <w:t xml:space="preserve"> OU 2 colloques</w:t>
            </w:r>
            <w:r>
              <w:rPr>
                <w:rFonts w:ascii="Arial" w:eastAsiaTheme="minorEastAsia" w:hAnsi="Arial" w:cs="Arial"/>
                <w:bCs/>
                <w:kern w:val="24"/>
              </w:rPr>
              <w:t xml:space="preserve"> (réussis)</w:t>
            </w:r>
            <w:r w:rsidRPr="00AF7A9C">
              <w:rPr>
                <w:rFonts w:ascii="Arial" w:eastAsiaTheme="minorEastAsia" w:hAnsi="Arial" w:cs="Arial"/>
                <w:bCs/>
                <w:kern w:val="24"/>
              </w:rPr>
              <w:t>. Le TD est obligatoire mais il ne remplace ni l’examen oral ni les 2 colloques.</w:t>
            </w:r>
          </w:p>
        </w:tc>
      </w:tr>
      <w:tr w:rsidR="006E0223" w:rsidRPr="006E0223" w14:paraId="3089A151" w14:textId="4EE91CE0" w:rsidTr="006E0223">
        <w:tc>
          <w:tcPr>
            <w:tcW w:w="2405" w:type="dxa"/>
          </w:tcPr>
          <w:p w14:paraId="2A4B946B" w14:textId="0E074985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14:paraId="2D186C5B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Times New Roman" w:hAnsi="Arial" w:cs="Arial"/>
              </w:rPr>
              <w:t>GREVISSE, M., (1993</w:t>
            </w:r>
            <w:r w:rsidRPr="00F1699A">
              <w:rPr>
                <w:rFonts w:ascii="Arial" w:eastAsia="Times New Roman" w:hAnsi="Arial" w:cs="Arial"/>
                <w:vertAlign w:val="superscript"/>
              </w:rPr>
              <w:t>13</w:t>
            </w:r>
            <w:r w:rsidRPr="00F1699A">
              <w:rPr>
                <w:rFonts w:ascii="Arial" w:eastAsia="Times New Roman" w:hAnsi="Arial" w:cs="Arial"/>
              </w:rPr>
              <w:t xml:space="preserve">), </w:t>
            </w:r>
            <w:r w:rsidRPr="00F1699A">
              <w:rPr>
                <w:rFonts w:ascii="Arial" w:eastAsia="Times New Roman" w:hAnsi="Arial" w:cs="Arial"/>
                <w:i/>
              </w:rPr>
              <w:t>Le Bon Usage</w:t>
            </w:r>
            <w:r w:rsidRPr="00F1699A">
              <w:rPr>
                <w:rFonts w:ascii="Arial" w:eastAsia="Times New Roman" w:hAnsi="Arial" w:cs="Arial"/>
              </w:rPr>
              <w:t>, Paris, Duculot, (</w:t>
            </w:r>
            <w:proofErr w:type="spellStart"/>
            <w:r w:rsidRPr="00F1699A">
              <w:rPr>
                <w:rFonts w:ascii="Arial" w:eastAsia="Times New Roman" w:hAnsi="Arial" w:cs="Arial"/>
              </w:rPr>
              <w:t>ili</w:t>
            </w:r>
            <w:proofErr w:type="spellEnd"/>
            <w:r w:rsidRPr="00F1699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1699A">
              <w:rPr>
                <w:rFonts w:ascii="Arial" w:eastAsia="Times New Roman" w:hAnsi="Arial" w:cs="Arial"/>
              </w:rPr>
              <w:t>novije</w:t>
            </w:r>
            <w:proofErr w:type="spellEnd"/>
            <w:r w:rsidRPr="00F1699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1699A">
              <w:rPr>
                <w:rFonts w:ascii="Arial" w:eastAsia="Times New Roman" w:hAnsi="Arial" w:cs="Arial"/>
              </w:rPr>
              <w:t>izdanje</w:t>
            </w:r>
            <w:proofErr w:type="spellEnd"/>
            <w:r w:rsidRPr="00F1699A">
              <w:rPr>
                <w:rFonts w:ascii="Arial" w:eastAsia="Times New Roman" w:hAnsi="Arial" w:cs="Arial"/>
              </w:rPr>
              <w:t>)</w:t>
            </w:r>
          </w:p>
          <w:p w14:paraId="1D01A50B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Times New Roman" w:hAnsi="Arial" w:cs="Arial"/>
              </w:rPr>
              <w:t xml:space="preserve">LE GOFFIC, P., (1993), </w:t>
            </w:r>
            <w:r w:rsidRPr="00F1699A">
              <w:rPr>
                <w:rFonts w:ascii="Arial" w:eastAsia="Times New Roman" w:hAnsi="Arial" w:cs="Arial"/>
                <w:i/>
              </w:rPr>
              <w:t>Grammaire de la phrase française</w:t>
            </w:r>
            <w:r w:rsidRPr="00F1699A">
              <w:rPr>
                <w:rFonts w:ascii="Arial" w:eastAsia="Times New Roman" w:hAnsi="Arial" w:cs="Arial"/>
              </w:rPr>
              <w:t>, Paris, Hachette</w:t>
            </w:r>
          </w:p>
          <w:p w14:paraId="6325637F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Times New Roman" w:hAnsi="Arial" w:cs="Arial"/>
              </w:rPr>
              <w:t xml:space="preserve">MONNERET, PH., (1999), </w:t>
            </w:r>
            <w:r w:rsidRPr="00F1699A">
              <w:rPr>
                <w:rFonts w:ascii="Arial" w:eastAsia="Times New Roman" w:hAnsi="Arial" w:cs="Arial"/>
                <w:i/>
              </w:rPr>
              <w:t>Exercices de linguistique</w:t>
            </w:r>
            <w:r w:rsidRPr="00F1699A">
              <w:rPr>
                <w:rFonts w:ascii="Arial" w:eastAsia="Times New Roman" w:hAnsi="Arial" w:cs="Arial"/>
              </w:rPr>
              <w:t>, Paris, PUF</w:t>
            </w:r>
          </w:p>
          <w:p w14:paraId="2C66EA70" w14:textId="77777777" w:rsidR="00F1699A" w:rsidRPr="00F1699A" w:rsidRDefault="00F1699A" w:rsidP="00F1699A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F1699A">
              <w:rPr>
                <w:rFonts w:ascii="Arial" w:eastAsia="Times New Roman" w:hAnsi="Arial" w:cs="Arial"/>
              </w:rPr>
              <w:t xml:space="preserve">SOUTET, O., (1992), </w:t>
            </w:r>
            <w:r w:rsidRPr="00F1699A">
              <w:rPr>
                <w:rFonts w:ascii="Arial" w:eastAsia="Times New Roman" w:hAnsi="Arial" w:cs="Arial"/>
                <w:i/>
              </w:rPr>
              <w:t>La syntaxe du français</w:t>
            </w:r>
            <w:r w:rsidRPr="00F1699A">
              <w:rPr>
                <w:rFonts w:ascii="Arial" w:eastAsia="Times New Roman" w:hAnsi="Arial" w:cs="Arial"/>
              </w:rPr>
              <w:t xml:space="preserve">, Paris, PUF </w:t>
            </w:r>
          </w:p>
          <w:p w14:paraId="6005AAD8" w14:textId="033C825D" w:rsidR="006E0223" w:rsidRPr="00F1699A" w:rsidRDefault="00F1699A" w:rsidP="00F1699A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F1699A">
              <w:rPr>
                <w:rFonts w:ascii="Arial" w:eastAsia="Times New Roman" w:hAnsi="Arial" w:cs="Arial"/>
              </w:rPr>
              <w:t xml:space="preserve">VARGA, D., (2005), </w:t>
            </w:r>
            <w:r w:rsidRPr="00F1699A">
              <w:rPr>
                <w:rFonts w:ascii="Arial" w:eastAsia="Times New Roman" w:hAnsi="Arial" w:cs="Arial"/>
                <w:i/>
              </w:rPr>
              <w:t>Syntaxe du français</w:t>
            </w:r>
            <w:r w:rsidRPr="00F1699A">
              <w:rPr>
                <w:rFonts w:ascii="Arial" w:eastAsia="Times New Roman" w:hAnsi="Arial" w:cs="Arial"/>
              </w:rPr>
              <w:t xml:space="preserve">, Zagreb, FF </w:t>
            </w:r>
            <w:proofErr w:type="spellStart"/>
            <w:r w:rsidRPr="00F1699A">
              <w:rPr>
                <w:rFonts w:ascii="Arial" w:eastAsia="Times New Roman" w:hAnsi="Arial" w:cs="Arial"/>
              </w:rPr>
              <w:t>Press</w:t>
            </w:r>
            <w:proofErr w:type="spellEnd"/>
          </w:p>
        </w:tc>
      </w:tr>
      <w:tr w:rsidR="006E0223" w:rsidRPr="00AF7A9C" w14:paraId="7DF907A4" w14:textId="547808C5" w:rsidTr="006E0223">
        <w:tc>
          <w:tcPr>
            <w:tcW w:w="2405" w:type="dxa"/>
          </w:tcPr>
          <w:p w14:paraId="2AFE6F1A" w14:textId="39865B64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657" w:type="dxa"/>
          </w:tcPr>
          <w:p w14:paraId="1BF5416A" w14:textId="6690D47A" w:rsidR="006E0223" w:rsidRPr="00AF7A9C" w:rsidRDefault="00133090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AF7A9C">
              <w:rPr>
                <w:rFonts w:ascii="Arial" w:eastAsiaTheme="minorEastAsia" w:hAnsi="Arial" w:cs="Arial"/>
                <w:bCs/>
                <w:kern w:val="24"/>
              </w:rPr>
              <w:t>Tomislav FRLETA, tfrleta@unizd.hr</w:t>
            </w:r>
          </w:p>
        </w:tc>
      </w:tr>
    </w:tbl>
    <w:p w14:paraId="5CA351AA" w14:textId="42271939" w:rsidR="00E43B19" w:rsidRPr="00AF7A9C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AF7A9C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3293E" w14:textId="77777777" w:rsidR="00B057E7" w:rsidRDefault="00B057E7">
      <w:pPr>
        <w:spacing w:after="0" w:line="240" w:lineRule="auto"/>
      </w:pPr>
      <w:r>
        <w:separator/>
      </w:r>
    </w:p>
  </w:endnote>
  <w:endnote w:type="continuationSeparator" w:id="0">
    <w:p w14:paraId="1E71419A" w14:textId="77777777" w:rsidR="00B057E7" w:rsidRDefault="00B0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9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CDB24" w14:textId="77777777" w:rsidR="00B057E7" w:rsidRDefault="00B057E7">
      <w:pPr>
        <w:spacing w:after="0" w:line="240" w:lineRule="auto"/>
      </w:pPr>
      <w:r>
        <w:separator/>
      </w:r>
    </w:p>
  </w:footnote>
  <w:footnote w:type="continuationSeparator" w:id="0">
    <w:p w14:paraId="67D5B3A5" w14:textId="77777777" w:rsidR="00B057E7" w:rsidRDefault="00B0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4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4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2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0"/>
  </w:num>
  <w:num w:numId="9">
    <w:abstractNumId w:val="46"/>
  </w:num>
  <w:num w:numId="10">
    <w:abstractNumId w:val="17"/>
  </w:num>
  <w:num w:numId="11">
    <w:abstractNumId w:val="26"/>
  </w:num>
  <w:num w:numId="12">
    <w:abstractNumId w:val="33"/>
  </w:num>
  <w:num w:numId="13">
    <w:abstractNumId w:val="36"/>
  </w:num>
  <w:num w:numId="14">
    <w:abstractNumId w:val="38"/>
  </w:num>
  <w:num w:numId="15">
    <w:abstractNumId w:val="39"/>
  </w:num>
  <w:num w:numId="16">
    <w:abstractNumId w:val="44"/>
  </w:num>
  <w:num w:numId="17">
    <w:abstractNumId w:val="47"/>
  </w:num>
  <w:num w:numId="18">
    <w:abstractNumId w:val="29"/>
  </w:num>
  <w:num w:numId="19">
    <w:abstractNumId w:val="3"/>
  </w:num>
  <w:num w:numId="20">
    <w:abstractNumId w:val="27"/>
  </w:num>
  <w:num w:numId="21">
    <w:abstractNumId w:val="35"/>
  </w:num>
  <w:num w:numId="22">
    <w:abstractNumId w:val="24"/>
  </w:num>
  <w:num w:numId="23">
    <w:abstractNumId w:val="9"/>
  </w:num>
  <w:num w:numId="24">
    <w:abstractNumId w:val="31"/>
  </w:num>
  <w:num w:numId="25">
    <w:abstractNumId w:val="0"/>
  </w:num>
  <w:num w:numId="26">
    <w:abstractNumId w:val="13"/>
  </w:num>
  <w:num w:numId="27">
    <w:abstractNumId w:val="43"/>
  </w:num>
  <w:num w:numId="28">
    <w:abstractNumId w:val="23"/>
  </w:num>
  <w:num w:numId="29">
    <w:abstractNumId w:val="1"/>
  </w:num>
  <w:num w:numId="30">
    <w:abstractNumId w:val="40"/>
  </w:num>
  <w:num w:numId="31">
    <w:abstractNumId w:val="30"/>
  </w:num>
  <w:num w:numId="32">
    <w:abstractNumId w:val="8"/>
  </w:num>
  <w:num w:numId="33">
    <w:abstractNumId w:val="16"/>
  </w:num>
  <w:num w:numId="34">
    <w:abstractNumId w:val="7"/>
  </w:num>
  <w:num w:numId="35">
    <w:abstractNumId w:val="19"/>
  </w:num>
  <w:num w:numId="36">
    <w:abstractNumId w:val="41"/>
  </w:num>
  <w:num w:numId="37">
    <w:abstractNumId w:val="37"/>
  </w:num>
  <w:num w:numId="38">
    <w:abstractNumId w:val="34"/>
  </w:num>
  <w:num w:numId="39">
    <w:abstractNumId w:val="22"/>
  </w:num>
  <w:num w:numId="40">
    <w:abstractNumId w:val="45"/>
  </w:num>
  <w:num w:numId="41">
    <w:abstractNumId w:val="32"/>
  </w:num>
  <w:num w:numId="42">
    <w:abstractNumId w:val="28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8583B"/>
    <w:rsid w:val="00091CCF"/>
    <w:rsid w:val="00092715"/>
    <w:rsid w:val="000A2E21"/>
    <w:rsid w:val="000F1A12"/>
    <w:rsid w:val="00107D4D"/>
    <w:rsid w:val="00133090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52180"/>
    <w:rsid w:val="00360BCC"/>
    <w:rsid w:val="003C6E4C"/>
    <w:rsid w:val="003D7AE4"/>
    <w:rsid w:val="0041395D"/>
    <w:rsid w:val="00445329"/>
    <w:rsid w:val="0045254A"/>
    <w:rsid w:val="00471E29"/>
    <w:rsid w:val="00477239"/>
    <w:rsid w:val="00490A57"/>
    <w:rsid w:val="00491C54"/>
    <w:rsid w:val="004A172C"/>
    <w:rsid w:val="004A3960"/>
    <w:rsid w:val="004D0C28"/>
    <w:rsid w:val="005063B6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D20C0"/>
    <w:rsid w:val="009F6F1B"/>
    <w:rsid w:val="00A00FE2"/>
    <w:rsid w:val="00A20714"/>
    <w:rsid w:val="00A52ED1"/>
    <w:rsid w:val="00A545F4"/>
    <w:rsid w:val="00A71924"/>
    <w:rsid w:val="00A9254E"/>
    <w:rsid w:val="00AA0ABB"/>
    <w:rsid w:val="00AC5D29"/>
    <w:rsid w:val="00AF7A9C"/>
    <w:rsid w:val="00B057E7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1699A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090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1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2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2358-E94B-4922-A316-548FF336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Windows User</cp:lastModifiedBy>
  <cp:revision>2</cp:revision>
  <cp:lastPrinted>2022-06-08T12:43:00Z</cp:lastPrinted>
  <dcterms:created xsi:type="dcterms:W3CDTF">2022-12-06T19:32:00Z</dcterms:created>
  <dcterms:modified xsi:type="dcterms:W3CDTF">2022-12-06T19:32:00Z</dcterms:modified>
</cp:coreProperties>
</file>