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9542F22" w:rsidR="004B553E" w:rsidRPr="0017531F" w:rsidRDefault="0063439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1463C7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34397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634397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B24889A" w:rsidR="004B553E" w:rsidRPr="0017531F" w:rsidRDefault="0063439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Prevođenje s francuskog na hrvatski 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3996B23" w:rsidR="004B553E" w:rsidRPr="0017531F" w:rsidRDefault="0063439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10F6D30" w:rsidR="004B553E" w:rsidRPr="0017531F" w:rsidRDefault="0063439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sveučilišni dvopredmetni studij Francuski jezik i književnost – prevoditeljski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FB7D89C" w:rsidR="004B553E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B453D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5E92CF9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654A5E3" w:rsidR="004B553E" w:rsidRPr="0017531F" w:rsidRDefault="00B453D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D6302A8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B453D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B54807F" w:rsidR="00393964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453D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3E9A057" w:rsidR="00393964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39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4B8D7EA" w:rsidR="00453362" w:rsidRPr="0017531F" w:rsidRDefault="0063439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8E318E8" w:rsidR="00453362" w:rsidRPr="0017531F" w:rsidRDefault="0063439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B3F5705" w:rsidR="00453362" w:rsidRPr="0017531F" w:rsidRDefault="00634397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16DB3EB" w:rsidR="00453362" w:rsidRPr="0017531F" w:rsidRDefault="00B453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ABB1A5D" w:rsidR="00453362" w:rsidRPr="0017531F" w:rsidRDefault="0029256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FC9C1C7" w:rsidR="00453362" w:rsidRPr="0017531F" w:rsidRDefault="00F539A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="00292566">
              <w:rPr>
                <w:rFonts w:ascii="Merriweather" w:hAnsi="Merriweather" w:cs="Times New Roman"/>
                <w:sz w:val="16"/>
                <w:szCs w:val="16"/>
              </w:rPr>
              <w:t>rancuski i 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6745B3C" w:rsidR="00453362" w:rsidRPr="0017531F" w:rsidRDefault="00F539A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D4A684D" w:rsidR="00453362" w:rsidRPr="00292566" w:rsidRDefault="00F539AF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highlight w:val="yellow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24398F8" w:rsidR="00453362" w:rsidRPr="0017531F" w:rsidRDefault="002925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Položen kolegij </w:t>
            </w:r>
            <w:r w:rsidRPr="00292566">
              <w:rPr>
                <w:rFonts w:ascii="Merriweather" w:hAnsi="Merriweather" w:cs="Times New Roman"/>
                <w:i/>
                <w:sz w:val="16"/>
                <w:szCs w:val="16"/>
              </w:rPr>
              <w:t>Prevođenje s francuskog na hrvatski 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6226C0C" w:rsidR="00453362" w:rsidRPr="0017531F" w:rsidRDefault="002925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Marija Spajić, prof. 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27E3A03" w:rsidR="00453362" w:rsidRPr="0017531F" w:rsidRDefault="002925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mspajic@unizd.hr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0093C8E" w:rsidR="00453362" w:rsidRPr="0017531F" w:rsidRDefault="009B5FA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</w:t>
            </w:r>
            <w:bookmarkStart w:id="0" w:name="_GoBack"/>
            <w:bookmarkEnd w:id="0"/>
            <w:r>
              <w:rPr>
                <w:rFonts w:ascii="Merriweather" w:hAnsi="Merriweather" w:cs="Times New Roman"/>
                <w:sz w:val="16"/>
                <w:szCs w:val="16"/>
              </w:rPr>
              <w:t>rema oglašenom rasporedu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661067B" w:rsidR="00453362" w:rsidRPr="0017531F" w:rsidRDefault="0029256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Marija Spajić</w:t>
            </w:r>
            <w:r w:rsidR="007A4755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>
              <w:rPr>
                <w:rFonts w:ascii="Merriweather" w:hAnsi="Merriweather" w:cs="Times New Roman"/>
                <w:sz w:val="16"/>
                <w:szCs w:val="16"/>
              </w:rPr>
              <w:t>p</w:t>
            </w:r>
            <w:r>
              <w:rPr>
                <w:rFonts w:ascii="Merriweather" w:hAnsi="Merriweather" w:cs="Times New Roman"/>
                <w:sz w:val="16"/>
                <w:szCs w:val="16"/>
              </w:rPr>
              <w:t>rof.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9FC25D5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53FE6C45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C9A4EA4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9AF" w:rsidRPr="00F539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F539A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459C27E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5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730C219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9AF" w:rsidRPr="00F539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F539A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B453D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2566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92566" w:rsidRPr="0017531F" w:rsidRDefault="00292566" w:rsidP="002925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0ECBD38" w14:textId="77777777" w:rsidR="00292566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fr-FR"/>
              </w:rPr>
            </w:pPr>
            <w:r w:rsidRPr="00F5304E">
              <w:rPr>
                <w:rFonts w:ascii="Times New Roman" w:hAnsi="Times New Roman" w:cs="Times New Roman"/>
                <w:sz w:val="18"/>
                <w:lang w:val="fr-FR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analizirati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tekstualne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izvantekstualne</w:t>
            </w:r>
            <w:proofErr w:type="spellEnd"/>
            <w:r w:rsidRPr="00F5304E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 w:rsidRPr="00F5304E">
              <w:rPr>
                <w:rFonts w:ascii="Times New Roman" w:hAnsi="Times New Roman" w:cs="Times New Roman"/>
                <w:sz w:val="18"/>
                <w:lang w:val="fr-FR"/>
              </w:rPr>
              <w:t>činjenic</w:t>
            </w:r>
            <w:r>
              <w:rPr>
                <w:rFonts w:ascii="Times New Roman" w:hAnsi="Times New Roman" w:cs="Times New Roman"/>
                <w:sz w:val="18"/>
                <w:lang w:val="fr-FR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potrebne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adekvatno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>prevođenje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srednje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zahtjevnih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lang w:val="fr-FR"/>
              </w:rPr>
              <w:t>tekstova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>;</w:t>
            </w:r>
            <w:proofErr w:type="gram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</w:p>
          <w:p w14:paraId="6523D187" w14:textId="77777777" w:rsidR="00292566" w:rsidRPr="00F3498B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primjenjivati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prevodilačke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spoznaje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strategije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kreativnost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na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konkretnim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tekstovima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2A2A0D1F" w14:textId="77777777" w:rsidR="00292566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služiti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se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rječnicima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referentnim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djelima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bazama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podataka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drugim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pomagalima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potrebnim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u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procesu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2A463960" w14:textId="77777777" w:rsidR="00292566" w:rsidRPr="00F3498B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diskutirati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konstruktivn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surađivati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kolegama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prilikom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analize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nekog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6313ECEB" w14:textId="77777777" w:rsidR="00292566" w:rsidRPr="00F3498B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5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samo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stalno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prevoditi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srednje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zahtjevne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tekstove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0E74D36F" w14:textId="77777777" w:rsidR="00292566" w:rsidRPr="00F3498B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6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usmeno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ili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pismeno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sažeti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preformulirati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osnovne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informacije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iz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32DFF78E" w14:textId="77777777" w:rsidR="00292566" w:rsidRPr="00F3498B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7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analizirati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argumentirati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vlastita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prijevodna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rješenja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služeći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se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adekvatnim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metajezikom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5528DF32" w14:textId="77777777" w:rsidR="00292566" w:rsidRPr="00F3498B" w:rsidRDefault="00292566" w:rsidP="002925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objektivno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analizirati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vrednovati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tuđi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vlastiti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prijevod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1C076E7D" w14:textId="08BF3F58" w:rsidR="00292566" w:rsidRPr="001755C0" w:rsidRDefault="00292566" w:rsidP="00292566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9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vršiti post-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editing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</w:rPr>
              <w:t xml:space="preserve"> strojno prevedenog teksta;</w:t>
            </w:r>
          </w:p>
          <w:p w14:paraId="13E2A08B" w14:textId="64266569" w:rsidR="00292566" w:rsidRPr="0017531F" w:rsidRDefault="00292566" w:rsidP="002925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poštivati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zadane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upute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rokove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A05866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3EFFD07" w14:textId="77777777" w:rsidR="00A05866" w:rsidRPr="00F03BE0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vladati francuskim jezikom na razini C</w:t>
            </w:r>
            <w:r w:rsidRPr="00B515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s elementima C2 prema ZEROJ-u</w:t>
            </w:r>
          </w:p>
          <w:p w14:paraId="78CAB95A" w14:textId="77777777" w:rsidR="00A05866" w:rsidRPr="00F03BE0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poznavati temeljne značajke francuske kulture i civilizacije te</w:t>
            </w:r>
            <w:r w:rsidRPr="00B515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frankofonskih kultura</w:t>
            </w:r>
          </w:p>
          <w:p w14:paraId="14359A4C" w14:textId="77777777" w:rsidR="00A05866" w:rsidRPr="00F03BE0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primjenjivati jezične, diskurzivne i književno-stilske spozna</w:t>
            </w:r>
            <w:r w:rsidRPr="00B515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 u samostalnoj analizi teksta</w:t>
            </w:r>
          </w:p>
          <w:p w14:paraId="676D1EF6" w14:textId="77777777" w:rsidR="00A05866" w:rsidRPr="00B5151C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poznavati i samostalno primjenjivati prijevodne strategije i postupke u prevođenju raznih vrsta tekstova (novinskih, poslovnih, stručnih, znanstvenih, književnih, stripova i sl.) s francuskog na hrvatski te</w:t>
            </w:r>
            <w:r w:rsidRPr="00B515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 hrvatskog na francuski jezik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6049BCE6" w14:textId="77777777" w:rsidR="00A05866" w:rsidRPr="00F03BE0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5)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vladati osnovnim informatičkim vještinama na korisničkoj razini te alatima za računalno potpomognuto prevođenje (CAT);</w:t>
            </w:r>
          </w:p>
          <w:p w14:paraId="07E0B53A" w14:textId="77777777" w:rsidR="00A05866" w:rsidRPr="00F03BE0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služiti se rječnicima, referentnim djelima, bazama podataka, terminološkim bazama te drugim pomagalima potrebnim u procesu prevođenja te kritički vrednovati prikupljene informacije;</w:t>
            </w:r>
          </w:p>
          <w:p w14:paraId="5295143D" w14:textId="77777777" w:rsidR="00A05866" w:rsidRPr="00F03BE0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7)</w:t>
            </w:r>
            <w:r w:rsidRPr="00F03BE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brzo se i učinkovito tematski dokumentirati te primjenjivati tematska znanja u izradi prijevoda;</w:t>
            </w:r>
          </w:p>
          <w:p w14:paraId="3C363B68" w14:textId="77777777" w:rsidR="00A05866" w:rsidRPr="001B76F6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8)</w:t>
            </w:r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 samostalno raspravljati o </w:t>
            </w:r>
            <w:proofErr w:type="spellStart"/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traduktološkim</w:t>
            </w:r>
            <w:proofErr w:type="spellEnd"/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temama, općenitim ili vezanim za konkretni tekst, služeći se prikladnim </w:t>
            </w:r>
            <w:proofErr w:type="spellStart"/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metajezikom</w:t>
            </w:r>
            <w:proofErr w:type="spellEnd"/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; </w:t>
            </w:r>
          </w:p>
          <w:p w14:paraId="0791D70E" w14:textId="77777777" w:rsidR="00A05866" w:rsidRPr="001B76F6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9)</w:t>
            </w:r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ispravljati leksičke, gramatičke i tekstualne pogreške u vlastitom ili tuđem prijevodu, kritički usporediti više inačica prijevoda istoga teksta te vrednovati vlastiti ili tuđi prevodilački rad; </w:t>
            </w:r>
          </w:p>
          <w:p w14:paraId="00F3F880" w14:textId="77777777" w:rsidR="00A05866" w:rsidRPr="001B76F6" w:rsidRDefault="00A05866" w:rsidP="00A05866">
            <w:pPr>
              <w:spacing w:after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10)</w:t>
            </w:r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etički obavljati posao sukladno standardima struke, samostalno ili u ekipi, u povoljnim radnim uvjetima ili pod pritiskom te preuzeti odgovornost za obavljeni posao;</w:t>
            </w:r>
          </w:p>
          <w:p w14:paraId="12CA2F78" w14:textId="2A90F3C2" w:rsidR="00A05866" w:rsidRPr="0017531F" w:rsidRDefault="00A05866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11)</w:t>
            </w:r>
            <w:r w:rsidRPr="001B76F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prepoznati potrebu stjecanja novih znanja i trajnog usavršavanja.</w:t>
            </w:r>
          </w:p>
        </w:tc>
      </w:tr>
      <w:tr w:rsidR="00A05866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05866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C3E571A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922C48F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552AB23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636A060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05866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EA0691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05866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03B85B43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8F4E82E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7A4755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8DFBDF6" w14:textId="77777777" w:rsidR="007A4755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 (min 70%, a u slučaju kolizije 50%).</w:t>
            </w:r>
          </w:p>
          <w:p w14:paraId="2A87557E" w14:textId="77777777" w:rsidR="007A4755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 kolegiju se osigurava kontinuirano praćenje, a konačna </w:t>
            </w:r>
            <w:r w:rsidRPr="009E2384">
              <w:rPr>
                <w:rFonts w:ascii="Times New Roman" w:hAnsi="Times New Roman" w:cs="Times New Roman"/>
                <w:sz w:val="18"/>
              </w:rPr>
              <w:t>je ocjena aritmetička sredina sv</w:t>
            </w:r>
            <w:r>
              <w:rPr>
                <w:rFonts w:ascii="Times New Roman" w:hAnsi="Times New Roman" w:cs="Times New Roman"/>
                <w:sz w:val="18"/>
              </w:rPr>
              <w:t>ih dobivenih ocjena iz zadaća</w:t>
            </w:r>
            <w:r w:rsidRPr="009E2384">
              <w:rPr>
                <w:rFonts w:ascii="Times New Roman" w:hAnsi="Times New Roman" w:cs="Times New Roman"/>
                <w:sz w:val="18"/>
              </w:rPr>
              <w:t xml:space="preserve"> i kolokvija tijekom semestra.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Student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tijekom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semestra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mora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barem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šest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ocjena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(3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zada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će i 3 kolokvija).</w:t>
            </w:r>
          </w:p>
          <w:p w14:paraId="24E7956C" w14:textId="77777777" w:rsidR="007A4755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Negativne ocjene iz prijevoda tijekom semestra mogu se ispraviti. 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Tri </w:t>
            </w:r>
            <w:r>
              <w:rPr>
                <w:rFonts w:ascii="Times New Roman" w:hAnsi="Times New Roman" w:cs="Times New Roman"/>
                <w:sz w:val="18"/>
              </w:rPr>
              <w:t xml:space="preserve">neispravljene negativne </w:t>
            </w:r>
            <w:r w:rsidRPr="001755C0">
              <w:rPr>
                <w:rFonts w:ascii="Times New Roman" w:hAnsi="Times New Roman" w:cs="Times New Roman"/>
                <w:sz w:val="18"/>
              </w:rPr>
              <w:t>ocjene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755C0">
              <w:rPr>
                <w:rFonts w:ascii="Times New Roman" w:hAnsi="Times New Roman" w:cs="Times New Roman"/>
                <w:sz w:val="18"/>
              </w:rPr>
              <w:t>znače pad na kolegiju.</w:t>
            </w:r>
          </w:p>
          <w:p w14:paraId="635C111F" w14:textId="5DDB7AA9" w:rsidR="007A4755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Ispitu mogu pristupiti svi studenti koji su redovito izvršavali svoje obaveze (zadaće, kolokviji) te koji tijekom semestra nisu dobili tri negativne ocjene. </w:t>
            </w:r>
            <w:r w:rsidRPr="00F539AF">
              <w:rPr>
                <w:rFonts w:ascii="Times New Roman" w:hAnsi="Times New Roman" w:cs="Times New Roman"/>
                <w:sz w:val="18"/>
              </w:rPr>
              <w:t>Pristupom na ispit može se isključivo popraviti prosjek, ne i ispraviti ne</w:t>
            </w:r>
            <w:r w:rsidR="00F539AF" w:rsidRPr="00F539AF">
              <w:rPr>
                <w:rFonts w:ascii="Times New Roman" w:hAnsi="Times New Roman" w:cs="Times New Roman"/>
                <w:sz w:val="18"/>
              </w:rPr>
              <w:t>gativna ocjena.</w:t>
            </w:r>
            <w:r w:rsidRPr="00F539AF">
              <w:rPr>
                <w:rFonts w:ascii="Times New Roman" w:hAnsi="Times New Roman" w:cs="Times New Roman"/>
                <w:sz w:val="18"/>
              </w:rPr>
              <w:t>.</w:t>
            </w:r>
          </w:p>
          <w:p w14:paraId="5E09B7A3" w14:textId="6585F9A1" w:rsidR="007A4755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Svi su studenti dužni slati sve domaće zadaće (iako se sve ne ocjenjuju). 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Za svako kašnjenje sa slanjem zadaće ili neposlanu zadaću dobiva se </w:t>
            </w:r>
            <w:r>
              <w:rPr>
                <w:rFonts w:ascii="Times New Roman" w:hAnsi="Times New Roman" w:cs="Times New Roman"/>
                <w:sz w:val="18"/>
              </w:rPr>
              <w:t>minus, a tri minusa znače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negativnu </w:t>
            </w:r>
            <w:r w:rsidRPr="001755C0">
              <w:rPr>
                <w:rFonts w:ascii="Times New Roman" w:hAnsi="Times New Roman" w:cs="Times New Roman"/>
                <w:sz w:val="18"/>
              </w:rPr>
              <w:t>ocjenu</w:t>
            </w:r>
            <w:r>
              <w:rPr>
                <w:rFonts w:ascii="Times New Roman" w:hAnsi="Times New Roman" w:cs="Times New Roman"/>
                <w:sz w:val="18"/>
              </w:rPr>
              <w:t xml:space="preserve"> koja ulazi u ukupni prosjek.</w:t>
            </w:r>
          </w:p>
          <w:p w14:paraId="61A5A804" w14:textId="35D6DF34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Aktivnost i zalaganje na satu također se posebno vrednuju (+), a za svaka tri plusa student dobiva ocjenu izvrstan koja ulazi u ukupni prosjek.</w:t>
            </w:r>
          </w:p>
        </w:tc>
      </w:tr>
      <w:tr w:rsidR="00A05866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A05866" w:rsidRPr="0017531F" w:rsidRDefault="00B453DB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46A5CF73" w:rsidR="00A05866" w:rsidRPr="0017531F" w:rsidRDefault="00B453DB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2FDC937B" w:rsidR="00A05866" w:rsidRPr="0017531F" w:rsidRDefault="00B453DB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86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0586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05866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A05866" w:rsidRPr="0017531F" w:rsidRDefault="00A05866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1C30C9C" w:rsidR="00A05866" w:rsidRPr="0017531F" w:rsidRDefault="00A05866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4640E43" w:rsidR="00A05866" w:rsidRPr="0017531F" w:rsidRDefault="00A05866" w:rsidP="00A0586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oglašenom rasporedu</w:t>
            </w:r>
          </w:p>
        </w:tc>
      </w:tr>
      <w:tr w:rsidR="00A05866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05866" w:rsidRPr="0017531F" w:rsidRDefault="00A05866" w:rsidP="00A0586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E8711C8" w14:textId="77777777" w:rsidR="007A4755" w:rsidRPr="00C5356B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>Kolegij se nastavlja na kolegij Prevođenje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 francuskog na hrvatski </w:t>
            </w:r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I </w:t>
            </w:r>
            <w:proofErr w:type="spellStart"/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>i</w:t>
            </w:r>
            <w:proofErr w:type="spellEnd"/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nadopunjuje s kolegijem Prevođen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je s hrvatskog n francuski</w:t>
            </w:r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II te predstavlja srednju od tri faze usvajanja i primjene prijevodnih znanja i vještina.</w:t>
            </w:r>
          </w:p>
          <w:p w14:paraId="232A0C09" w14:textId="1EC226FC" w:rsidR="00A05866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Posvećen je razvijanju prijevodnih vještina potrebnih za adekvatno prenošenje smisla teksta s francuskog na hrvatski jezik samostalnim i grupnim prevođenjem srednje zahtjevnih tekstova, kao i analizom vlastitih i tuđih prijevoda. Napredovanje studenata redovito se provjerava pisanim prijevodima obavljenim kod kuće, kao i kolokvijima. Predviđen je i rad na prijevodima na satu, kao i mali projektni zadaci u svrhu usvajanja profesionalnih vještina. U radu će se aktivno služiti najvažnijim pomagalima za prevođenje (rječnicima, leksikonima, internetom, bazama podataka i sl.). Posebna će se pozornost posvetiti prevođenju frazema te prenošenju realija iz polaznog jezika u ciljni. </w:t>
            </w:r>
            <w:r w:rsidRPr="00C5356B">
              <w:rPr>
                <w:rFonts w:ascii="Times New Roman" w:hAnsi="Times New Roman" w:cs="Times New Roman"/>
                <w:sz w:val="18"/>
                <w:szCs w:val="18"/>
              </w:rPr>
              <w:t xml:space="preserve">Izvršavajući predviđene prijevodne zadatke studenti će kroz pritom nužan kontrastivni pristup usavršavati i produbljivati  svoje kako francuske tako i hrvatske jezične kompetencije, kao što će i stjecati te produbljivati spoznaje o francuskoj i frankofonskoj kulturi i društvu. </w:t>
            </w:r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>S</w:t>
            </w:r>
            <w:r w:rsidRPr="00C5356B">
              <w:rPr>
                <w:rFonts w:ascii="Times New Roman" w:hAnsi="Times New Roman" w:cs="Times New Roman"/>
                <w:sz w:val="18"/>
                <w:szCs w:val="18"/>
              </w:rPr>
              <w:t xml:space="preserve">tjecat će i naviku praćenja francuskih (frankofonskih) medija te </w:t>
            </w:r>
            <w:r w:rsidRPr="00C5356B">
              <w:rPr>
                <w:rFonts w:ascii="Times New Roman" w:eastAsia="MS Gothic" w:hAnsi="Times New Roman" w:cs="Times New Roman"/>
                <w:sz w:val="18"/>
                <w:szCs w:val="18"/>
              </w:rPr>
              <w:t>graditi osjećaj odgovornosti prema postavljenom zadatku, kao i osjećaj autorske odgovornosti prema prevedenom tekstu.</w:t>
            </w:r>
          </w:p>
        </w:tc>
      </w:tr>
      <w:tr w:rsidR="007A475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7B49FBC" w14:textId="77777777" w:rsidR="007A4755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1. 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Uvodn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razgovor: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syllabus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(sadržaj kolegija, ciljevi, ishodi, studentske obaveze, način vrednovanja)</w:t>
            </w:r>
          </w:p>
          <w:p w14:paraId="6760E23C" w14:textId="77777777" w:rsidR="007A4755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2. Analiza prijevoda, prevođenje na satu (projektni zadaci) </w:t>
            </w:r>
          </w:p>
          <w:p w14:paraId="0AD40A37" w14:textId="77777777" w:rsidR="007A4755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Analiza prijevoda, prevođenje na satu (projektni zadaci)</w:t>
            </w:r>
          </w:p>
          <w:p w14:paraId="0398A179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4. Prvi kolokvij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7748FF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5. Analiza prijevoda, prevođenje na satu (projektni zadaci) </w:t>
            </w:r>
          </w:p>
          <w:p w14:paraId="28380E4B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6. Analiza prijevoda, prevođenje na satu (projektni zadaci) </w:t>
            </w:r>
          </w:p>
          <w:p w14:paraId="09891ACE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7. Drugi kolokvij </w:t>
            </w:r>
          </w:p>
          <w:p w14:paraId="6BD61638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8. Analiza prijevoda, prevođenje na satu (projektni zadaci) </w:t>
            </w:r>
          </w:p>
          <w:p w14:paraId="0F1F43D4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9. Analiza prijevoda, prevođenje na satu (projektni zadaci) </w:t>
            </w:r>
          </w:p>
          <w:p w14:paraId="3D79DBA1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10. Analiza prijevoda, prevođenje na satu (projektni zadaci)</w:t>
            </w:r>
          </w:p>
          <w:p w14:paraId="06EB9180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11. Treći kolokvij </w:t>
            </w:r>
          </w:p>
          <w:p w14:paraId="16397F18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12. Analiza prijevoda, prevođenje na satu (projektni zadaci) </w:t>
            </w:r>
          </w:p>
          <w:p w14:paraId="36CD79E9" w14:textId="77777777" w:rsidR="007A4755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13. Analiza prijevoda, prevođenje na satu (projektni zadaci)</w:t>
            </w:r>
          </w:p>
          <w:p w14:paraId="03CAB059" w14:textId="77777777" w:rsidR="007A4755" w:rsidRPr="00984D33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14. Četvrti kolokvij </w:t>
            </w:r>
          </w:p>
          <w:p w14:paraId="6E3A408E" w14:textId="11DBEB80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15. Analiza prijevod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a, zaključni razgovor</w:t>
            </w:r>
          </w:p>
        </w:tc>
      </w:tr>
      <w:tr w:rsidR="007A4755" w:rsidRPr="0017531F" w14:paraId="3D0DF717" w14:textId="77777777" w:rsidTr="00481EF1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366D3105" w14:textId="77777777" w:rsidR="007A4755" w:rsidRPr="00EC7431" w:rsidRDefault="007A4755" w:rsidP="007A47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1.Putanec, V., </w:t>
            </w:r>
            <w:r w:rsidRPr="00EC7431">
              <w:rPr>
                <w:rFonts w:ascii="Times New Roman" w:hAnsi="Times New Roman" w:cs="Times New Roman"/>
                <w:i/>
                <w:sz w:val="18"/>
                <w:szCs w:val="18"/>
              </w:rPr>
              <w:t>Francusko-hrvatski rječnik</w:t>
            </w: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, Školska knjiga, Zagreb (razna izdanja)</w:t>
            </w:r>
            <w:r w:rsidRPr="00EC7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15FE4FE1" w14:textId="77777777" w:rsidR="007A4755" w:rsidRPr="00EC7431" w:rsidRDefault="007A4755" w:rsidP="007A4755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EC7431">
              <w:rPr>
                <w:rFonts w:cs="Times New Roman"/>
                <w:sz w:val="18"/>
                <w:szCs w:val="18"/>
              </w:rPr>
              <w:t xml:space="preserve">2. </w:t>
            </w:r>
            <w:r w:rsidRPr="00EC7431">
              <w:rPr>
                <w:rFonts w:cs="Times New Roman"/>
                <w:i/>
                <w:iCs/>
                <w:sz w:val="18"/>
                <w:szCs w:val="18"/>
              </w:rPr>
              <w:t xml:space="preserve">Le nouveau Petit Robert </w:t>
            </w:r>
          </w:p>
          <w:p w14:paraId="584B3404" w14:textId="77777777" w:rsidR="007A4755" w:rsidRPr="00EC7431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3. </w:t>
            </w:r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VRH -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Veliki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rječnik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Hrvatskoga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standardnog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jezika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Školska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knjiga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Zagreb, 2015. </w:t>
            </w:r>
          </w:p>
          <w:p w14:paraId="58177004" w14:textId="77777777" w:rsidR="007A4755" w:rsidRPr="00EC7431" w:rsidRDefault="007A4755" w:rsidP="007A475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4. Grevisse </w:t>
            </w:r>
            <w:proofErr w:type="gram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M.:</w:t>
            </w:r>
            <w:proofErr w:type="gram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Le bon usage</w:t>
            </w:r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Duculot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. </w:t>
            </w:r>
          </w:p>
          <w:p w14:paraId="16313F3E" w14:textId="77777777" w:rsidR="007A4755" w:rsidRPr="00EC7431" w:rsidRDefault="007A4755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5. Pranjković, I., Silić, J., </w:t>
            </w:r>
            <w:r w:rsidRPr="00EC7431">
              <w:rPr>
                <w:rFonts w:ascii="Times New Roman" w:hAnsi="Times New Roman" w:cs="Times New Roman"/>
                <w:i/>
                <w:sz w:val="18"/>
                <w:szCs w:val="18"/>
              </w:rPr>
              <w:t>Gramatika hrvatskoga jezika za gimnazije i visoka učilišta</w:t>
            </w: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, Školska knjiga, Zagreb, 2007.</w:t>
            </w:r>
          </w:p>
          <w:p w14:paraId="0B89B5BE" w14:textId="7A53F5AD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6. Jozić, Ž. (</w:t>
            </w:r>
            <w:proofErr w:type="spellStart"/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.): </w:t>
            </w:r>
            <w:r w:rsidRPr="00EC7431">
              <w:rPr>
                <w:rFonts w:ascii="Times New Roman" w:hAnsi="Times New Roman" w:cs="Times New Roman"/>
                <w:i/>
                <w:sz w:val="18"/>
                <w:szCs w:val="18"/>
              </w:rPr>
              <w:t>Hrvatski pravopis</w:t>
            </w: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, Institut za hrvatski jezik i jezikoslovlje, Zagreb, 2014.</w:t>
            </w:r>
          </w:p>
        </w:tc>
      </w:tr>
      <w:tr w:rsidR="007A4755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A4755" w:rsidRPr="0017531F" w14:paraId="61074D84" w14:textId="77777777" w:rsidTr="00532719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1C06E87B" w14:textId="77777777" w:rsidR="007A4755" w:rsidRPr="00EC7431" w:rsidRDefault="00B453DB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A4755" w:rsidRPr="00EC74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www.cnrtl.fr</w:t>
              </w:r>
            </w:hyperlink>
            <w:r w:rsidR="007A4755"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117686" w14:textId="77777777" w:rsidR="007A4755" w:rsidRPr="00EC7431" w:rsidRDefault="00B453DB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7A4755" w:rsidRPr="00EC74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http://hjp.novi-liber.hr</w:t>
              </w:r>
            </w:hyperlink>
          </w:p>
          <w:p w14:paraId="48FCC33A" w14:textId="77777777" w:rsidR="007A4755" w:rsidRPr="00EC7431" w:rsidRDefault="00B453DB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7A4755" w:rsidRPr="00EC74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http://www.lexilogos.com/francais_langue_dictionnaires.htm</w:t>
              </w:r>
            </w:hyperlink>
            <w:r w:rsidR="007A4755"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DA6C07" w14:textId="77777777" w:rsidR="007A4755" w:rsidRPr="00EC7431" w:rsidRDefault="00B453DB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7A4755" w:rsidRPr="00EC74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http://www.ikonet.com/fr/ledictionnairevisuel/</w:t>
              </w:r>
            </w:hyperlink>
          </w:p>
          <w:p w14:paraId="0D6F07DC" w14:textId="77777777" w:rsidR="007A4755" w:rsidRPr="00EC7431" w:rsidRDefault="00B453DB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A4755" w:rsidRPr="00EC7431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http://proleksis.lzmk.hr/</w:t>
              </w:r>
            </w:hyperlink>
            <w:r w:rsidR="007A4755"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8D490D" w14:textId="77777777" w:rsidR="007A4755" w:rsidRPr="00EC7431" w:rsidRDefault="00B453DB" w:rsidP="007A47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7A4755" w:rsidRPr="00EC743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http://ihjj.hr/</w:t>
              </w:r>
            </w:hyperlink>
          </w:p>
          <w:p w14:paraId="3DCC4888" w14:textId="02387887" w:rsidR="007A4755" w:rsidRPr="0017531F" w:rsidRDefault="00B453DB" w:rsidP="007A47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6" w:history="1">
              <w:r w:rsidR="007A4755" w:rsidRPr="00EC7431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https://www.wordreference.com/</w:t>
              </w:r>
            </w:hyperlink>
          </w:p>
        </w:tc>
      </w:tr>
      <w:tr w:rsidR="007A475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7A475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7A4755" w:rsidRPr="0017531F" w:rsidRDefault="007A4755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7A4755" w:rsidRPr="0017531F" w:rsidRDefault="007A4755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7A475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8489D54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7A4755" w:rsidRPr="0017531F" w:rsidRDefault="007A4755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7A4755" w:rsidRPr="0017531F" w:rsidRDefault="00B453DB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7A4755" w:rsidRPr="0017531F" w:rsidRDefault="007A4755" w:rsidP="007A47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7A4755" w:rsidRPr="0017531F" w:rsidRDefault="00B453DB" w:rsidP="007A475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7A4755" w:rsidRPr="0017531F" w:rsidRDefault="00B453DB" w:rsidP="007A475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7A4755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7A475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F8F43DB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50% kolokviji, 50</w:t>
            </w:r>
            <w:r w:rsidRPr="00B7307A">
              <w:rPr>
                <w:rFonts w:ascii="Times New Roman" w:eastAsia="MS Gothic" w:hAnsi="Times New Roman" w:cs="Times New Roman"/>
                <w:sz w:val="18"/>
              </w:rPr>
              <w:t xml:space="preserve">%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zadać</w:t>
            </w: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e</w:t>
            </w:r>
          </w:p>
        </w:tc>
      </w:tr>
      <w:tr w:rsidR="007A475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27C41D2B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kolokvija i završnog ispita 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852C406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20 bodova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3BF3D631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7A475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10F8E83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21 - 25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E9C93A6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7A475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EB1145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26 - 30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A475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3EC8AB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31 - 35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A475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4415B7A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36 - 40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A475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7A4755" w:rsidRPr="0017531F" w:rsidRDefault="00B453DB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7A4755" w:rsidRPr="0017531F" w:rsidRDefault="00B453DB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7A4755" w:rsidRPr="0017531F" w:rsidRDefault="00B453DB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7A4755" w:rsidRPr="0017531F" w:rsidRDefault="00B453DB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7A4755" w:rsidRPr="0017531F" w:rsidRDefault="00B453DB" w:rsidP="007A475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755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A4755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A475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7A4755" w:rsidRPr="0017531F" w:rsidRDefault="007A4755" w:rsidP="007A475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1DB80D1" w:rsidR="007A4755" w:rsidRPr="0017531F" w:rsidRDefault="007A4755" w:rsidP="007A475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7A23" w14:textId="77777777" w:rsidR="00B453DB" w:rsidRDefault="00B453DB" w:rsidP="009947BA">
      <w:pPr>
        <w:spacing w:before="0" w:after="0"/>
      </w:pPr>
      <w:r>
        <w:separator/>
      </w:r>
    </w:p>
  </w:endnote>
  <w:endnote w:type="continuationSeparator" w:id="0">
    <w:p w14:paraId="1D7DC7F0" w14:textId="77777777" w:rsidR="00B453DB" w:rsidRDefault="00B453D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3EA67" w14:textId="77777777" w:rsidR="00B453DB" w:rsidRDefault="00B453DB" w:rsidP="009947BA">
      <w:pPr>
        <w:spacing w:before="0" w:after="0"/>
      </w:pPr>
      <w:r>
        <w:separator/>
      </w:r>
    </w:p>
  </w:footnote>
  <w:footnote w:type="continuationSeparator" w:id="0">
    <w:p w14:paraId="591AE512" w14:textId="77777777" w:rsidR="00B453DB" w:rsidRDefault="00B453D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92566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3439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4755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B5FAC"/>
    <w:rsid w:val="009C56B1"/>
    <w:rsid w:val="009D5226"/>
    <w:rsid w:val="009E2FD4"/>
    <w:rsid w:val="009E54D5"/>
    <w:rsid w:val="00A05866"/>
    <w:rsid w:val="00A06750"/>
    <w:rsid w:val="00A9132B"/>
    <w:rsid w:val="00AA1A5A"/>
    <w:rsid w:val="00AD23FB"/>
    <w:rsid w:val="00B453D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2907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39AF"/>
    <w:rsid w:val="00F566DA"/>
    <w:rsid w:val="00F82834"/>
    <w:rsid w:val="00F84F5E"/>
    <w:rsid w:val="00FB5E7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7A4755"/>
    <w:pPr>
      <w:spacing w:before="0" w:after="0"/>
    </w:pPr>
    <w:rPr>
      <w:rFonts w:ascii="Times New Roman" w:hAnsi="Times New Roman" w:cs="Mang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konet.com/fr/ledictionnairevisue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xilogos.com/francais_langue_dictionnaires.htm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ordreferenc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jp.novi-liber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ihjj.hr/" TargetMode="External"/><Relationship Id="rId10" Type="http://schemas.openxmlformats.org/officeDocument/2006/relationships/hyperlink" Target="http://www.cnrtl.f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proleksis.lzmk.h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8C8620-83DA-4C07-B787-2F1EEE40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Dell</cp:lastModifiedBy>
  <cp:revision>5</cp:revision>
  <cp:lastPrinted>2021-02-12T11:27:00Z</cp:lastPrinted>
  <dcterms:created xsi:type="dcterms:W3CDTF">2022-09-13T19:08:00Z</dcterms:created>
  <dcterms:modified xsi:type="dcterms:W3CDTF">2022-09-20T13:36:00Z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