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DF" w:rsidRDefault="00721532">
      <w:pPr>
        <w:pStyle w:val="Standard"/>
        <w:jc w:val="center"/>
      </w:pPr>
      <w:bookmarkStart w:id="0" w:name="_GoBack"/>
      <w:bookmarkEnd w:id="0"/>
      <w:r>
        <w:rPr>
          <w:rFonts w:ascii="Merriweather" w:hAnsi="Merriweather" w:cs="Times New Roman"/>
          <w:b/>
        </w:rPr>
        <w:t>Izvedbeni plan nastave (</w:t>
      </w:r>
      <w:r>
        <w:rPr>
          <w:rFonts w:ascii="Merriweather" w:hAnsi="Merriweather" w:cs="Times New Roman"/>
          <w:b/>
          <w:i/>
        </w:rPr>
        <w:t>syllabus</w:t>
      </w:r>
      <w:r>
        <w:rPr>
          <w:rFonts w:ascii="Merriweather" w:hAnsi="Merriweather" w:cs="Times New Roman"/>
          <w:b/>
        </w:rPr>
        <w:t>)</w:t>
      </w:r>
      <w:r>
        <w:rPr>
          <w:rStyle w:val="FootnoteReference"/>
          <w:rFonts w:ascii="Merriweather" w:hAnsi="Merriweather"/>
          <w:sz w:val="20"/>
        </w:rPr>
        <w:footnoteReference w:customMarkFollows="1" w:id="1"/>
        <w:t>*</w:t>
      </w:r>
    </w:p>
    <w:tbl>
      <w:tblPr>
        <w:tblW w:w="100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2"/>
        <w:gridCol w:w="445"/>
        <w:gridCol w:w="444"/>
        <w:gridCol w:w="322"/>
        <w:gridCol w:w="35"/>
        <w:gridCol w:w="87"/>
        <w:gridCol w:w="237"/>
        <w:gridCol w:w="128"/>
        <w:gridCol w:w="78"/>
        <w:gridCol w:w="187"/>
        <w:gridCol w:w="258"/>
        <w:gridCol w:w="141"/>
        <w:gridCol w:w="305"/>
        <w:gridCol w:w="495"/>
        <w:gridCol w:w="129"/>
        <w:gridCol w:w="102"/>
        <w:gridCol w:w="302"/>
        <w:gridCol w:w="422"/>
        <w:gridCol w:w="348"/>
        <w:gridCol w:w="64"/>
        <w:gridCol w:w="554"/>
        <w:gridCol w:w="482"/>
        <w:gridCol w:w="289"/>
        <w:gridCol w:w="26"/>
        <w:gridCol w:w="199"/>
        <w:gridCol w:w="429"/>
        <w:gridCol w:w="236"/>
        <w:gridCol w:w="35"/>
        <w:gridCol w:w="241"/>
        <w:gridCol w:w="1041"/>
      </w:tblGrid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88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Uvod u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frankofonske književnosti</w:t>
            </w:r>
          </w:p>
        </w:tc>
        <w:tc>
          <w:tcPr>
            <w:tcW w:w="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akad. god.</w:t>
            </w:r>
          </w:p>
        </w:tc>
        <w:tc>
          <w:tcPr>
            <w:tcW w:w="1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2023./2024.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880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Sveučilišni preddiplomski studij francuskog jezika i književnosti</w:t>
            </w:r>
          </w:p>
        </w:tc>
        <w:tc>
          <w:tcPr>
            <w:tcW w:w="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ECTS</w:t>
            </w:r>
          </w:p>
        </w:tc>
        <w:tc>
          <w:tcPr>
            <w:tcW w:w="1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Odjel za francuske i frankofonske studije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preddiplomski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diplomski</w:t>
            </w:r>
          </w:p>
        </w:tc>
        <w:tc>
          <w:tcPr>
            <w:tcW w:w="21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integrirani</w:t>
            </w:r>
          </w:p>
        </w:tc>
        <w:tc>
          <w:tcPr>
            <w:tcW w:w="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poslijediplomski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6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jednopredmetni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dvopredmetni</w:t>
            </w:r>
          </w:p>
        </w:tc>
        <w:tc>
          <w:tcPr>
            <w:tcW w:w="17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sveučilišni</w:t>
            </w:r>
          </w:p>
        </w:tc>
        <w:tc>
          <w:tcPr>
            <w:tcW w:w="21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stručni</w:t>
            </w:r>
          </w:p>
        </w:tc>
        <w:tc>
          <w:tcPr>
            <w:tcW w:w="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specijalistički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1.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2.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3.</w:t>
            </w:r>
          </w:p>
        </w:tc>
        <w:tc>
          <w:tcPr>
            <w:tcW w:w="1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4.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zimski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ljetni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II.</w:t>
            </w:r>
          </w:p>
        </w:tc>
        <w:tc>
          <w:tcPr>
            <w:tcW w:w="1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III.</w:t>
            </w:r>
          </w:p>
        </w:tc>
        <w:tc>
          <w:tcPr>
            <w:tcW w:w="14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IV.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VI.</w:t>
            </w:r>
          </w:p>
        </w:tc>
        <w:tc>
          <w:tcPr>
            <w:tcW w:w="14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VII.</w:t>
            </w:r>
          </w:p>
        </w:tc>
        <w:tc>
          <w:tcPr>
            <w:tcW w:w="1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VIII.</w:t>
            </w:r>
          </w:p>
        </w:tc>
        <w:tc>
          <w:tcPr>
            <w:tcW w:w="14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IX.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2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obvezni kolegij</w:t>
            </w:r>
          </w:p>
        </w:tc>
        <w:tc>
          <w:tcPr>
            <w:tcW w:w="145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izborni kolegij</w:t>
            </w:r>
          </w:p>
        </w:tc>
        <w:tc>
          <w:tcPr>
            <w:tcW w:w="28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izborni kolegij koji se nudi studentima drugih odjela</w:t>
            </w:r>
          </w:p>
        </w:tc>
        <w:tc>
          <w:tcPr>
            <w:tcW w:w="14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Nastavničke kompetencije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NE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P</w:t>
            </w:r>
          </w:p>
        </w:tc>
        <w:tc>
          <w:tcPr>
            <w:tcW w:w="4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4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S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V</w:t>
            </w:r>
          </w:p>
        </w:tc>
        <w:tc>
          <w:tcPr>
            <w:tcW w:w="43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 xml:space="preserve">Mrežne stranice kolegija u sustavu za e-učenje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NE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SK-155</w:t>
            </w:r>
          </w:p>
        </w:tc>
        <w:tc>
          <w:tcPr>
            <w:tcW w:w="43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Jezik/jezici na kojima se izvodi kolegij</w:t>
            </w:r>
          </w:p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jc w:val="right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Francuski/hrvatski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66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6.10.2022.</w:t>
            </w:r>
          </w:p>
        </w:tc>
        <w:tc>
          <w:tcPr>
            <w:tcW w:w="435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right"/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 xml:space="preserve">Završetak nastave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26.01.2023.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Upisana 1. god. preddiplomskog studija francuskog jezika i književnosti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Doc.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dr. sc. Frano Vrančić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fvrancic@unizd.hr</w:t>
            </w: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Konzultacije</w:t>
            </w:r>
          </w:p>
        </w:tc>
        <w:tc>
          <w:tcPr>
            <w:tcW w:w="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Četvrtkom od 16h do 18h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Doc. dr. sc. Frano Vrančić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  <w:t>Konzultacije</w:t>
            </w:r>
          </w:p>
        </w:tc>
        <w:tc>
          <w:tcPr>
            <w:tcW w:w="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Četvrkom od 16h do 18h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spacing w:before="0" w:after="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452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predavanja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seminari i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radionice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vježbe</w:t>
            </w:r>
          </w:p>
        </w:tc>
        <w:tc>
          <w:tcPr>
            <w:tcW w:w="1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e-učenje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samostalni zadaci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multimedija i mreža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laboratorij</w:t>
            </w:r>
          </w:p>
        </w:tc>
        <w:tc>
          <w:tcPr>
            <w:tcW w:w="1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mentorski rad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0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jc w:val="both"/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 xml:space="preserve">-objasniti društveno-povijesne prilike u Europi, posebno u Francuskoj i njenom kolonijalnom carstvu </w:t>
            </w: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 xml:space="preserve">od XVII. do XX. st.;  </w:t>
            </w:r>
          </w:p>
          <w:p w:rsidR="00A253DF" w:rsidRDefault="00721532">
            <w:pPr>
              <w:pStyle w:val="Standard"/>
              <w:jc w:val="both"/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 Narrow"/>
                <w:sz w:val="18"/>
                <w:szCs w:val="18"/>
                <w:shd w:val="clear" w:color="auto" w:fill="FFFFFF"/>
              </w:rPr>
              <w:t>-navesti definicije pojmova specifičnih za književnu frankofoniju i postkolonijalnu kritiku; razumjeti polemike vezane za definiciju književne frankofonije;</w:t>
            </w:r>
          </w:p>
          <w:p w:rsidR="00A253DF" w:rsidRDefault="00721532">
            <w:pPr>
              <w:pStyle w:val="Standard"/>
              <w:jc w:val="both"/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 xml:space="preserve">-navesti glavne značajke frankofonskih književnosti Supsaharske Afrike, </w:t>
            </w: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>Kanade, Kariba, Indijskog oceana, Oceanije, Indokine, Mediterana, Belgije i Švicarske, književne pravce i njihove glavne predstavnike;</w:t>
            </w:r>
          </w:p>
          <w:p w:rsidR="00A253DF" w:rsidRDefault="00721532">
            <w:pPr>
              <w:pStyle w:val="Standard"/>
              <w:jc w:val="both"/>
            </w:pP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>- izložiti specifičnosti pojedinih književnih opusa koji su obilježili različite etape frankofonskih književnosti (Verhae</w:t>
            </w: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>ren, Maeterlinck, Thiry; Cendrars, Ramuz; Roy, Blais, Ferron; Senghor, C</w:t>
            </w: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ésaire, Damas, Chamoiseau, Glissant, Kourouma, Labou Tansi; Yacine, Ben Jelloun, Memmi, Maalouf, Cung G</w:t>
            </w: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>îu-Nguyên</w:t>
            </w:r>
            <w:r>
              <w:rPr>
                <w:rFonts w:ascii="Merriweather" w:hAnsi="Merriweather" w:cs="Arial"/>
                <w:sz w:val="18"/>
                <w:szCs w:val="18"/>
                <w:shd w:val="clear" w:color="auto" w:fill="FFFFFF"/>
              </w:rPr>
              <w:t>).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373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04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eastAsia="hr-HR"/>
              </w:rPr>
              <w:t>-poznavati elemente francuske i frankofonske kulture ; razumjeti književni tekst i diskurs te prepoznati žanrovska i stilska obilježja pojedinih književnih tekstova; samostalno čitati stručne, znanstvene i književne tekstove i razumjeti stručne pojmove.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8776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pohađanje nastave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priprema za nastavu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domaće zadaće</w:t>
            </w:r>
          </w:p>
        </w:tc>
        <w:tc>
          <w:tcPr>
            <w:tcW w:w="1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kontinuirana evaluacija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praktični rad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seminarski rad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izlaganje</w:t>
            </w:r>
          </w:p>
        </w:tc>
        <w:tc>
          <w:tcPr>
            <w:tcW w:w="16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projekt</w:t>
            </w:r>
          </w:p>
        </w:tc>
        <w:tc>
          <w:tcPr>
            <w:tcW w:w="1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kolokvij(i)</w:t>
            </w:r>
          </w:p>
        </w:tc>
        <w:tc>
          <w:tcPr>
            <w:tcW w:w="16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pismeni ispit</w:t>
            </w:r>
          </w:p>
        </w:tc>
        <w:tc>
          <w:tcPr>
            <w:tcW w:w="16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usmeni ispit</w:t>
            </w:r>
          </w:p>
        </w:tc>
        <w:tc>
          <w:tcPr>
            <w:tcW w:w="166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ostalo: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Za stjecanje potpisa studenti su dužni pohađati nastavu (70%, odnosno 50% u slučaju kolizije) i aktivno sudjelovati u seminarskom dijelu nastave.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zimski ispitni rok</w:t>
            </w:r>
          </w:p>
        </w:tc>
        <w:tc>
          <w:tcPr>
            <w:tcW w:w="2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ljetni ispitni rok</w:t>
            </w:r>
          </w:p>
        </w:tc>
        <w:tc>
          <w:tcPr>
            <w:tcW w:w="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jesenski ispitni rok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32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2.02.2023.-16.02.2023.</w:t>
            </w:r>
          </w:p>
        </w:tc>
        <w:tc>
          <w:tcPr>
            <w:tcW w:w="27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8.09.-22.09.2023.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 xml:space="preserve">Svrha je ovog kolegija upoznavanje studenata s društvenim i političkim okolnostima nastanka frankofonskih književnosti, pri čemu je glavni cilj studentima pružiti 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>kompetencije koje će im omogućiti da korištenjem pristupa zasnovanih na intertekstualnosti ili, pak, postkolonijalnoj kritici mogu detaljno analizirati djela najrelevantnijih frankofonskih autora u odnosu na kanonska djela francuske književnosti, prepoznaj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>ući pritom svo bogatstvo institucionalnih i diskurzivnih specifičnosti književnosti francuskog jezičnog izričaja. Prvi se dio kolegija odnosi na pregled i književnu analizu najvažnijih djela frankofonskih autora Belgije, drugi na književnost romanske Švica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 xml:space="preserve">rske, treći na frankofonsku književnost Kanade, četvrti dio na frankofonske književnosti Crne Afrike, francuskih 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lastRenderedPageBreak/>
              <w:t>Antila, Indijskog oceana i Vijetnama, te posljednji dio na frankofonske književnosti Magreba i Mašrika. Poseban naglasak bit će stavljen na crn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>aštvo, filozofski, kulturni i pjesnički pravac koji je nastao u Parizu 1930-tih godina kao odgovor na kulturnu hegemoniju Treće Francuske Republike u njenim prekomorskim teritorijima. Crnaštvo je bilo vrlo moćno oružje u borbi protiv europskog kolonijalizm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>a jer ono afirmira crnačku kulturu i identitet istovremeno odbijajući bjelačku kulturološku i intelektualnu superiornost. Stoga će književna djela utemeljitelja Frankofonije i prvog tamnoputog člana Francuske Akademije L. S. Senghora, francusko-martiniškog</w:t>
            </w:r>
            <w:r>
              <w:rPr>
                <w:rFonts w:ascii="Merriweather" w:eastAsia="MS Gothic" w:hAnsi="Merriweather" w:cs="Arial Narrow"/>
                <w:bCs/>
                <w:sz w:val="18"/>
                <w:szCs w:val="18"/>
                <w:shd w:val="clear" w:color="auto" w:fill="FFFFFF"/>
              </w:rPr>
              <w:t xml:space="preserve"> pisca i političara A. C</w:t>
            </w:r>
            <w:r>
              <w:rPr>
                <w:rFonts w:ascii="Merriweather" w:eastAsia="Calibri" w:hAnsi="Merriweather" w:cs="Arial Narrow"/>
                <w:bCs/>
                <w:sz w:val="18"/>
                <w:szCs w:val="18"/>
                <w:shd w:val="clear" w:color="auto" w:fill="FFFFFF"/>
              </w:rPr>
              <w:t>ésairea i čuvenog pjesnika iz Francuske Gvajane L. G. Damasa naći zasluženo mjesto u ovom kolegiju. Na kraju kolegija studenti će moći potpunije razumjeti probleme s kojima se nakon dekolonizacije francuskog i belgijskog kolonijalno</w:t>
            </w:r>
            <w:r>
              <w:rPr>
                <w:rFonts w:ascii="Merriweather" w:eastAsia="Calibri" w:hAnsi="Merriweather" w:cs="Arial Narrow"/>
                <w:bCs/>
                <w:sz w:val="18"/>
                <w:szCs w:val="18"/>
                <w:shd w:val="clear" w:color="auto" w:fill="FFFFFF"/>
              </w:rPr>
              <w:t>g imperija suočavaju mlade afričke demokracije, te vidjeti kako se isti odražavaju u književnim djelim afričkih frankofonskih autora (Kourouma, Labou Tansi, itd.).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1. Društveno-povijesne prilike u francuskom kolonijalnom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carstvu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2. Književna frankofonija i Frankofonija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3. Književnost frankofone Belgije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a) Emile Verhaeren,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Toute la Flandre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b) Maurice Maeterlinck,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Pell</w:t>
            </w:r>
            <w:r>
              <w:rPr>
                <w:rFonts w:ascii="Merriweather" w:hAnsi="Merriweather"/>
                <w:i/>
                <w:iCs/>
                <w:sz w:val="18"/>
                <w:szCs w:val="18"/>
                <w:shd w:val="clear" w:color="auto" w:fill="FFFFFF"/>
              </w:rPr>
              <w:t>éas et Mélisande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>4. Književnost romanske Švicarske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a) Blaise Cendrars, </w:t>
            </w:r>
            <w:r>
              <w:rPr>
                <w:rFonts w:ascii="Merriweather" w:hAnsi="Merriweather"/>
                <w:i/>
                <w:iCs/>
                <w:sz w:val="18"/>
                <w:szCs w:val="18"/>
                <w:shd w:val="clear" w:color="auto" w:fill="FFFFFF"/>
              </w:rPr>
              <w:t xml:space="preserve">Le Panama ou les aventures de mes </w:t>
            </w:r>
            <w:r>
              <w:rPr>
                <w:rFonts w:ascii="Merriweather" w:hAnsi="Merriweather"/>
                <w:i/>
                <w:iCs/>
                <w:sz w:val="18"/>
                <w:szCs w:val="18"/>
                <w:shd w:val="clear" w:color="auto" w:fill="FFFFFF"/>
              </w:rPr>
              <w:t>sept oncles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b)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Charles-Ferdinand Ramuz,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Farinet ou la fausse monnaie 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;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Derborence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5. Književnost frankofone Kanade :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a)  Gabrielle Roy,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Bonheur d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ʾ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occasion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b) </w:t>
            </w: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 xml:space="preserve">Jacques Ferron, 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Les grands soleils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6. Književnost «Crne Afrike» :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 xml:space="preserve">a) Léopold Sédar Senghor, 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Qu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ʾ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est-ce que la n</w:t>
            </w:r>
            <w:r>
              <w:rPr>
                <w:rFonts w:ascii="Merriweather" w:eastAsia="Calibri" w:hAnsi="Merriweather" w:cs="Merriweather"/>
                <w:i/>
                <w:iCs/>
                <w:sz w:val="18"/>
                <w:szCs w:val="18"/>
                <w:shd w:val="clear" w:color="auto" w:fill="FFFFFF"/>
              </w:rPr>
              <w:t>é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gritude</w:t>
            </w:r>
            <w:r>
              <w:rPr>
                <w:rFonts w:ascii="Merriweather" w:eastAsia="Calibri" w:hAnsi="Merriweather" w:cs="Merriweather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 xml:space="preserve">? </w:t>
            </w: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 xml:space="preserve"> Nuit de Sine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7. Književnost «Crne afrike» :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 xml:space="preserve">a)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Ahmadou Korouma,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Les Soleils des ind</w:t>
            </w:r>
            <w:r>
              <w:rPr>
                <w:rFonts w:ascii="Merriweather" w:hAnsi="Merriweather"/>
                <w:i/>
                <w:iCs/>
                <w:sz w:val="18"/>
                <w:szCs w:val="18"/>
                <w:shd w:val="clear" w:color="auto" w:fill="FFFFFF"/>
              </w:rPr>
              <w:t>é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pendances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8. Književnost «Crne afrike» :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 xml:space="preserve">a)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Sony Labou Tansi,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La vie et demie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9. Književnost frankofonih Antila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a) </w:t>
            </w: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Aimé C</w:t>
            </w: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ésaire, </w:t>
            </w:r>
            <w:r>
              <w:rPr>
                <w:rFonts w:ascii="Merriweather" w:hAnsi="Merriweather"/>
                <w:i/>
                <w:iCs/>
                <w:sz w:val="18"/>
                <w:szCs w:val="18"/>
                <w:shd w:val="clear" w:color="auto" w:fill="FFFFFF"/>
              </w:rPr>
              <w:t xml:space="preserve">Cahier dʼun </w:t>
            </w:r>
            <w:r>
              <w:rPr>
                <w:rFonts w:ascii="Merriweather" w:hAnsi="Merriweather"/>
                <w:i/>
                <w:iCs/>
                <w:sz w:val="18"/>
                <w:szCs w:val="18"/>
                <w:shd w:val="clear" w:color="auto" w:fill="FFFFFF"/>
              </w:rPr>
              <w:t>retour au pays natal</w:t>
            </w: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; </w:t>
            </w:r>
            <w:r>
              <w:rPr>
                <w:rFonts w:ascii="Merriweather" w:hAnsi="Merriweather"/>
                <w:i/>
                <w:iCs/>
                <w:sz w:val="18"/>
                <w:szCs w:val="18"/>
                <w:shd w:val="clear" w:color="auto" w:fill="FFFFFF"/>
              </w:rPr>
              <w:t>La Tragédie du roi Christophe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  <w:rPr>
                <w:rFonts w:ascii="Merriweather" w:hAnsi="Merriweather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>10. Književnost frankofonih Antila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a) </w:t>
            </w:r>
            <w:r>
              <w:rPr>
                <w:rFonts w:ascii="Merriweather" w:hAnsi="Merriweather"/>
                <w:sz w:val="18"/>
                <w:szCs w:val="18"/>
                <w:shd w:val="clear" w:color="auto" w:fill="FFFFFF"/>
                <w:lang w:val="fr-FR" w:eastAsia="hr-HR"/>
              </w:rPr>
              <w:t xml:space="preserve">Patrick Chamoiseau, </w:t>
            </w:r>
            <w:r>
              <w:rPr>
                <w:rFonts w:ascii="Merriweather" w:hAnsi="Merriweather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Texaco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hAnsi="Merriweather"/>
                <w:sz w:val="18"/>
                <w:szCs w:val="18"/>
                <w:shd w:val="clear" w:color="auto" w:fill="FFFFFF"/>
                <w:lang w:val="fr-FR" w:eastAsia="hr-HR"/>
              </w:rPr>
              <w:t xml:space="preserve">b) </w:t>
            </w:r>
            <w:r>
              <w:rPr>
                <w:rFonts w:ascii="Merriweather" w:eastAsia="Times New Roman" w:hAnsi="Merriweather" w:cs="Times New Roman"/>
                <w:sz w:val="18"/>
                <w:szCs w:val="18"/>
                <w:shd w:val="clear" w:color="auto" w:fill="FFFFFF"/>
                <w:lang w:val="fr-FR" w:eastAsia="hr-HR"/>
              </w:rPr>
              <w:t xml:space="preserve">Edouard Glissant, </w:t>
            </w:r>
            <w:r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Le Quatri</w:t>
            </w:r>
            <w:r>
              <w:rPr>
                <w:rFonts w:ascii="Merriweather" w:eastAsia="Times New Roman" w:hAnsi="Merriweather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ème siècle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en-US" w:eastAsia="hr-HR"/>
              </w:rPr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en-US" w:eastAsia="hr-HR"/>
              </w:rPr>
              <w:t>11. Književnost Francuske Gvajane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en-US" w:eastAsia="hr-HR"/>
              </w:rPr>
              <w:t xml:space="preserve">a) Léon Gontran Damas, </w:t>
            </w:r>
            <w:r>
              <w:rPr>
                <w:rFonts w:ascii="Merriweather" w:eastAsia="Times New Roman" w:hAnsi="Merriweather"/>
                <w:i/>
                <w:iCs/>
                <w:sz w:val="18"/>
                <w:szCs w:val="18"/>
                <w:shd w:val="clear" w:color="auto" w:fill="FFFFFF"/>
                <w:lang w:val="en-US" w:eastAsia="hr-HR"/>
              </w:rPr>
              <w:t>Pigments </w:t>
            </w: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en-US" w:eastAsia="hr-HR"/>
              </w:rPr>
              <w:t xml:space="preserve">; </w:t>
            </w:r>
            <w:r>
              <w:rPr>
                <w:rFonts w:ascii="Merriweather" w:eastAsia="Times New Roman" w:hAnsi="Merriweather"/>
                <w:i/>
                <w:iCs/>
                <w:sz w:val="18"/>
                <w:szCs w:val="18"/>
                <w:shd w:val="clear" w:color="auto" w:fill="FFFFFF"/>
                <w:lang w:val="en-US" w:eastAsia="hr-HR"/>
              </w:rPr>
              <w:t>Graffiti</w:t>
            </w: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en-US" w:eastAsia="hr-HR"/>
              </w:rPr>
              <w:t xml:space="preserve">,  </w:t>
            </w:r>
            <w:r>
              <w:rPr>
                <w:rFonts w:ascii="Merriweather" w:eastAsia="Times New Roman" w:hAnsi="Merriweather"/>
                <w:i/>
                <w:iCs/>
                <w:sz w:val="18"/>
                <w:szCs w:val="18"/>
                <w:shd w:val="clear" w:color="auto" w:fill="FFFFFF"/>
                <w:lang w:val="en-US" w:eastAsia="hr-HR"/>
              </w:rPr>
              <w:t>Black-Label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eastAsia="hr-HR"/>
              </w:rPr>
              <w:t xml:space="preserve">12. </w:t>
            </w: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eastAsia="hr-HR"/>
              </w:rPr>
              <w:t>Frankofona književnost Magreba (Alžir)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eastAsia="hr-HR"/>
              </w:rPr>
              <w:t xml:space="preserve">a) Kateb Yacine, </w:t>
            </w:r>
            <w:r>
              <w:rPr>
                <w:rFonts w:ascii="Merriweather" w:eastAsia="Times New Roman" w:hAnsi="Merriweather"/>
                <w:i/>
                <w:iCs/>
                <w:sz w:val="18"/>
                <w:szCs w:val="18"/>
                <w:shd w:val="clear" w:color="auto" w:fill="FFFFFF"/>
                <w:lang w:eastAsia="hr-HR"/>
              </w:rPr>
              <w:t>Le cadavre encerclé</w:t>
            </w: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eastAsia="hr-HR"/>
              </w:rPr>
              <w:t xml:space="preserve">, </w:t>
            </w:r>
            <w:r>
              <w:rPr>
                <w:rFonts w:ascii="Merriweather" w:eastAsia="Times New Roman" w:hAnsi="Merriweather"/>
                <w:i/>
                <w:iCs/>
                <w:sz w:val="18"/>
                <w:szCs w:val="18"/>
                <w:shd w:val="clear" w:color="auto" w:fill="FFFFFF"/>
                <w:lang w:eastAsia="hr-HR"/>
              </w:rPr>
              <w:t>Nedjma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fr-FR" w:eastAsia="hr-HR"/>
              </w:rPr>
              <w:t xml:space="preserve">b) Assia Djebar, </w:t>
            </w:r>
            <w:r>
              <w:rPr>
                <w:rFonts w:ascii="Merriweather" w:eastAsia="Times New Roman" w:hAnsi="Merriweather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Lʼamour, la Fantasia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fr-FR" w:eastAsia="hr-HR"/>
              </w:rPr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fr-FR" w:eastAsia="hr-HR"/>
              </w:rPr>
              <w:t>13. Frankofona književnost Magreba (Maroko i Tunis)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fr-FR" w:eastAsia="hr-HR"/>
              </w:rPr>
              <w:lastRenderedPageBreak/>
              <w:t xml:space="preserve">a)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  <w:lang w:val="fr-FR" w:eastAsia="hr-HR"/>
              </w:rPr>
              <w:t xml:space="preserve">Tahar Ben Jelloun,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L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ʾ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enfant de sable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fr-FR" w:eastAsia="hr-HR"/>
              </w:rPr>
              <w:t xml:space="preserve">b) Albert Memmi, </w:t>
            </w:r>
            <w:r>
              <w:rPr>
                <w:rFonts w:ascii="Merriweather" w:eastAsia="Times New Roman" w:hAnsi="Merriweather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La Statue de sel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eastAsia="hr-HR"/>
              </w:rPr>
              <w:t xml:space="preserve">14. </w:t>
            </w: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eastAsia="hr-HR"/>
              </w:rPr>
              <w:t>Frankofona književnost Bliskog Istoka (Egipat i Libanon)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fr-FR" w:eastAsia="hr-HR"/>
              </w:rPr>
              <w:t xml:space="preserve">a) Albert Cossery, </w:t>
            </w:r>
            <w:r>
              <w:rPr>
                <w:rFonts w:ascii="Merriweather" w:eastAsia="Times New Roman" w:hAnsi="Merriweather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>La Maison de la mort certaine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jc w:val="both"/>
            </w:pPr>
            <w:r>
              <w:rPr>
                <w:rFonts w:ascii="Merriweather" w:eastAsia="Times New Roman" w:hAnsi="Merriweather"/>
                <w:sz w:val="18"/>
                <w:szCs w:val="18"/>
                <w:shd w:val="clear" w:color="auto" w:fill="FFFFFF"/>
                <w:lang w:val="fr-FR" w:eastAsia="hr-HR"/>
              </w:rPr>
              <w:t xml:space="preserve">b)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  <w:lang w:val="fr-FR" w:eastAsia="hr-HR"/>
              </w:rPr>
              <w:t>Amin Maalouf,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  <w:lang w:val="fr-FR" w:eastAsia="hr-HR"/>
              </w:rPr>
              <w:t xml:space="preserve"> Le rocher de Tanios 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15. Frankofona književnost Vijetnama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a) Cung G</w:t>
            </w:r>
            <w:r>
              <w:rPr>
                <w:rFonts w:ascii="Merriweather" w:hAnsi="Merriweather"/>
                <w:sz w:val="18"/>
                <w:szCs w:val="18"/>
                <w:shd w:val="clear" w:color="auto" w:fill="FFFFFF"/>
              </w:rPr>
              <w:t xml:space="preserve">îu-Nguyên, 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Volontés d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ʾ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existence</w:t>
            </w:r>
            <w:r>
              <w:rPr>
                <w:rFonts w:ascii="Merriweather" w:eastAsia="Calibri" w:hAnsi="Merriweather" w:cs="Merriweather"/>
                <w:i/>
                <w:iCs/>
                <w:sz w:val="18"/>
                <w:szCs w:val="18"/>
                <w:shd w:val="clear" w:color="auto" w:fill="FFFFFF"/>
              </w:rPr>
              <w:t> 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 w:line="360" w:lineRule="auto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b) Pham Van Ky, </w:t>
            </w:r>
            <w:r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  <w:t>Perdre la demeure</w:t>
            </w:r>
          </w:p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i/>
                <w:iCs/>
                <w:sz w:val="18"/>
                <w:szCs w:val="18"/>
                <w:shd w:val="clear" w:color="auto" w:fill="FFFFFF"/>
              </w:rPr>
            </w:pP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Napomena : Studenti su dužni pročitati isključivo odabrane ulomke iz gore spomenutih književnih djela.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 xml:space="preserve">Jean-Louis Joubert, 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Les littératures francophones depuis 1945</w:t>
            </w: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, Bordas, Paris, 1986. (str. 21-31, 66-78, 93-113, 175-237, 240-248)</w:t>
            </w:r>
          </w:p>
          <w:p w:rsidR="00A253DF" w:rsidRDefault="00721532">
            <w:pPr>
              <w:pStyle w:val="Standard"/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 xml:space="preserve">Petr Vurm, 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Anthologie de la littérature francophone</w:t>
            </w: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, Masarykova univerzita, Brno, 2014. (str. 7-20, 21-38, 39-52, 67-84, 85-100, 124-131)</w:t>
            </w:r>
          </w:p>
          <w:p w:rsidR="00A253DF" w:rsidRDefault="00721532">
            <w:pPr>
              <w:pStyle w:val="Standard"/>
              <w:jc w:val="both"/>
            </w:pP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>Littératures de langue française hors de France</w:t>
            </w: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, FIPS, Bruxelles, 1981. (str. 201-206, 214-217, 229-234, 427-436, 455-</w:t>
            </w: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458, 465-468, 531-538, 552-558, 567-569, 633-640, 651-653, 654-658)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Dodatna literatura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jc w:val="both"/>
            </w:pP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Lilyan Kasteloot,</w:t>
            </w:r>
            <w:r>
              <w:rPr>
                <w:rFonts w:ascii="Merriweather" w:eastAsia="Calibri" w:hAnsi="Merriweather" w:cs="Arial"/>
                <w:i/>
                <w:iCs/>
                <w:sz w:val="18"/>
                <w:szCs w:val="18"/>
                <w:shd w:val="clear" w:color="auto" w:fill="FFFFFF"/>
              </w:rPr>
              <w:t xml:space="preserve"> Histoire de la littérature négro-africaine</w:t>
            </w:r>
            <w:r>
              <w:rPr>
                <w:rFonts w:ascii="Merriweather" w:eastAsia="Calibri" w:hAnsi="Merriweather" w:cs="Arial"/>
                <w:sz w:val="18"/>
                <w:szCs w:val="18"/>
                <w:shd w:val="clear" w:color="auto" w:fill="FFFFFF"/>
              </w:rPr>
              <w:t>, Karthala Editions, Paris, 2001.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Mrežni izvori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650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 xml:space="preserve">Samo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završni ispit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3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završni</w:t>
            </w:r>
          </w:p>
          <w:p w:rsidR="00A253DF" w:rsidRDefault="00721532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pismeni ispit</w:t>
            </w:r>
          </w:p>
        </w:tc>
        <w:tc>
          <w:tcPr>
            <w:tcW w:w="21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završni</w:t>
            </w:r>
          </w:p>
          <w:p w:rsidR="00A253DF" w:rsidRDefault="00721532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usmeni ispit</w:t>
            </w:r>
          </w:p>
        </w:tc>
        <w:tc>
          <w:tcPr>
            <w:tcW w:w="20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pismeni i usmeni završni ispit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praktični rad i završni ispit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samo kolokvij/zadaće</w:t>
            </w:r>
          </w:p>
        </w:tc>
        <w:tc>
          <w:tcPr>
            <w:tcW w:w="15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kolokvij / zadaća i završni ispit</w:t>
            </w:r>
          </w:p>
        </w:tc>
        <w:tc>
          <w:tcPr>
            <w:tcW w:w="13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seminarski</w:t>
            </w:r>
          </w:p>
          <w:p w:rsidR="00A253DF" w:rsidRDefault="00721532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lastRenderedPageBreak/>
              <w:t>rad</w:t>
            </w:r>
          </w:p>
        </w:tc>
        <w:tc>
          <w:tcPr>
            <w:tcW w:w="13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widowControl w:val="0"/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lastRenderedPageBreak/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seminarski</w:t>
            </w:r>
          </w:p>
          <w:p w:rsidR="00A253DF" w:rsidRDefault="00721532">
            <w:pPr>
              <w:pStyle w:val="Standard"/>
              <w:widowControl w:val="0"/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 xml:space="preserve">rad i završni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lastRenderedPageBreak/>
              <w:t>ispit</w:t>
            </w:r>
          </w:p>
        </w:tc>
        <w:tc>
          <w:tcPr>
            <w:tcW w:w="22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widowControl w:val="0"/>
              <w:tabs>
                <w:tab w:val="center" w:pos="759"/>
              </w:tabs>
              <w:spacing w:before="0" w:after="0"/>
              <w:jc w:val="center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lastRenderedPageBreak/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  <w:lang w:eastAsia="hr-HR"/>
              </w:rPr>
              <w:t>praktični rad</w:t>
            </w: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Osim ocjene na usmenom ispitu konačna ocjena uzima u obzir i redovito pripremanje studenata za nastavu kao i njihov angažman prilikom pohađanja seminarskog dijela nastave.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Ocjenjivanje</w:t>
            </w:r>
          </w:p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/upisati postotak ili broj </w:t>
            </w:r>
            <w:r>
              <w:rPr>
                <w:rFonts w:ascii="Merriweather" w:hAnsi="Merriweather" w:cs="Times New Roman"/>
                <w:sz w:val="18"/>
                <w:szCs w:val="18"/>
              </w:rPr>
              <w:t>bodova za elemente koji se ocjenjuju/</w:t>
            </w: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nedovoljan (1)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dovoljan (2)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dobar (3)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vrlo dobar (4)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A253DF">
            <w:pPr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jc w:val="center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% izvrstan (5)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studentska evaluacija nastave na razini Sveučilišta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studentska evaluacija nastave na razini 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>sastavnice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interna evaluacija nastave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☒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tematske sjednice stručnih vijeća sastavnica o kvaliteti nastave i rezultatima studentske ankete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</w:pPr>
            <w:r>
              <w:rPr>
                <w:rFonts w:ascii="Segoe UI Symbol" w:eastAsia="MS Gothic" w:hAnsi="Segoe UI Symbol" w:cs="Segoe UI Symbol"/>
                <w:sz w:val="18"/>
                <w:szCs w:val="18"/>
                <w:shd w:val="clear" w:color="auto" w:fill="FFFFFF"/>
              </w:rPr>
              <w:t>☐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ostalo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253DF">
        <w:tblPrEx>
          <w:tblCellMar>
            <w:top w:w="0" w:type="dxa"/>
            <w:bottom w:w="0" w:type="dxa"/>
          </w:tblCellMar>
        </w:tblPrEx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spacing w:before="0" w:after="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674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Sukladno čl. 6.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Odbora za etiku u znanosti i visokom obrazovanju, „od st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udenta se očekuje da pošteno i etično ispunjava svoje obveze, da mu je temeljni cilj akademska izvrsnost, da se ponaša civilizirano, s poštovanjem i bez predrasuda“.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Prema čl. 14.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Etičkog kodeksa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Sveučilišta u Zadru, od studenata se očekuje „odgovorno i sa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hAnsi="Merriweather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[…]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Etički je nedopušten svaki čin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koji predstavlja povrjedu akademskog poštenja. To uključuje, ali se ne ograničava samo na: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- razne oblike prijevare kao što su uporaba ili posjedovanje knjiga, bilježaka, podataka, elektroničkih naprava ili drugih pomagala za vrijeme ispita, osim u slučaj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evima kada je to izrijekom dopušteno;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- razne oblike krivotvorenja kao što su uporaba ili posjedovanje neautorizirana materijala tijekom ispita; lažno predstavljanje i nazočnost ispitima u ime drugih studenata; lažiranje dokumenata u vezi sa studijima; fal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sificiranje potpisa i ocjena; krivotvorenje rezultata ispita“.</w:t>
            </w: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>
                <w:rPr>
                  <w:rFonts w:ascii="Merriweather" w:eastAsia="MS Gothic" w:hAnsi="Merriweather" w:cs="Times New Roman"/>
                  <w:i/>
                  <w:color w:val="00000A"/>
                  <w:sz w:val="18"/>
                  <w:szCs w:val="18"/>
                  <w:shd w:val="clear" w:color="auto" w:fill="FFFFFF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U elektronskoj komunikaciji bit će odgovar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>ano samo na poruke koje dolaze s poznatih adresa s imenom i prezimenom, te koje su napisane hrvatskim standardom i primjerenim akademskim stilom.</w:t>
            </w:r>
          </w:p>
          <w:p w:rsidR="00A253DF" w:rsidRDefault="00A253DF">
            <w:pPr>
              <w:pStyle w:val="Standard"/>
              <w:tabs>
                <w:tab w:val="left" w:pos="1218"/>
              </w:tabs>
              <w:spacing w:before="0" w:after="0"/>
              <w:jc w:val="both"/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</w:pPr>
          </w:p>
          <w:p w:rsidR="00A253DF" w:rsidRDefault="00721532">
            <w:pPr>
              <w:pStyle w:val="Standard"/>
              <w:tabs>
                <w:tab w:val="left" w:pos="1218"/>
              </w:tabs>
              <w:spacing w:before="0" w:after="0"/>
              <w:jc w:val="both"/>
            </w:pP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U kolegiju se koristi Merlin, sustav za e-učenje, pa su studentima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potrebni AAI rač</w:t>
            </w:r>
            <w:r>
              <w:rPr>
                <w:rFonts w:ascii="Merriweather" w:eastAsia="MS Gothic" w:hAnsi="Merriweather" w:cs="Times New Roman"/>
                <w:sz w:val="18"/>
                <w:szCs w:val="18"/>
                <w:shd w:val="clear" w:color="auto" w:fill="FFFFFF"/>
              </w:rPr>
              <w:t xml:space="preserve">uni. </w:t>
            </w:r>
            <w:r>
              <w:rPr>
                <w:rFonts w:ascii="Merriweather" w:eastAsia="MS Gothic" w:hAnsi="Merriweather" w:cs="Times New Roman"/>
                <w:i/>
                <w:sz w:val="18"/>
                <w:szCs w:val="18"/>
                <w:shd w:val="clear" w:color="auto" w:fill="FFFFFF"/>
              </w:rPr>
              <w:t>/izbrisati po potrebi/</w:t>
            </w:r>
          </w:p>
        </w:tc>
        <w:tc>
          <w:tcPr>
            <w:tcW w:w="1317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53DF" w:rsidRDefault="00A253DF">
            <w:pPr>
              <w:pStyle w:val="Standard"/>
              <w:rPr>
                <w:rFonts w:ascii="Merriweather" w:hAnsi="Merriweather"/>
                <w:sz w:val="18"/>
                <w:szCs w:val="18"/>
              </w:rPr>
            </w:pPr>
          </w:p>
        </w:tc>
      </w:tr>
    </w:tbl>
    <w:p w:rsidR="00A253DF" w:rsidRDefault="00A253DF">
      <w:pPr>
        <w:pStyle w:val="Standard"/>
      </w:pPr>
    </w:p>
    <w:sectPr w:rsidR="00A253DF">
      <w:headerReference w:type="default" r:id="rId7"/>
      <w:pgSz w:w="11906" w:h="16838"/>
      <w:pgMar w:top="1417" w:right="1417" w:bottom="1417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32" w:rsidRDefault="00721532">
      <w:pPr>
        <w:spacing w:before="0" w:after="0"/>
      </w:pPr>
      <w:r>
        <w:separator/>
      </w:r>
    </w:p>
  </w:endnote>
  <w:endnote w:type="continuationSeparator" w:id="0">
    <w:p w:rsidR="00721532" w:rsidRDefault="007215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32" w:rsidRDefault="00721532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721532" w:rsidRDefault="00721532">
      <w:pPr>
        <w:spacing w:before="0" w:after="0"/>
      </w:pPr>
      <w:r>
        <w:continuationSeparator/>
      </w:r>
    </w:p>
  </w:footnote>
  <w:footnote w:id="1">
    <w:p w:rsidR="00A253DF" w:rsidRDefault="00721532">
      <w:pPr>
        <w:pStyle w:val="FootnoteText"/>
        <w:jc w:val="both"/>
      </w:pPr>
      <w:r>
        <w:rPr>
          <w:rStyle w:val="FootnoteReference"/>
        </w:rPr>
        <w:t>*</w:t>
      </w: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CE" w:rsidRDefault="00721532">
    <w:pPr>
      <w:pStyle w:val="Heading2"/>
      <w:tabs>
        <w:tab w:val="left" w:pos="1418"/>
      </w:tabs>
      <w:spacing w:before="0" w:after="0"/>
      <w:ind w:left="1560" w:right="-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-207641</wp:posOffset>
              </wp:positionH>
              <wp:positionV relativeFrom="paragraph">
                <wp:posOffset>-267974</wp:posOffset>
              </wp:positionV>
              <wp:extent cx="1162687" cy="956947"/>
              <wp:effectExtent l="0" t="0" r="18413" b="14603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687" cy="9569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FFFFFF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9F03CE" w:rsidRDefault="00721532">
                          <w:r>
                            <w:rPr>
                              <w:rFonts w:eastAsia="Calibri" w:cs="Times New Roman"/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>
                                <wp:extent cx="723903" cy="7810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903" cy="78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16.35pt;margin-top:-21.1pt;width:91.55pt;height:7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" strokecolor="white" strokeweight=".26467mm">
              <v:textbox>
                <w:txbxContent>
                  <w:p w:rsidR="009F03CE" w:rsidRDefault="00721532">
                    <w:r>
                      <w:rPr>
                        <w:rFonts w:eastAsia="Calibri" w:cs="Times New Roman"/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>
                          <wp:extent cx="723903" cy="7810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903" cy="78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9F03CE" w:rsidRDefault="00721532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 w:rsidR="009F03CE" w:rsidRDefault="00721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53DF"/>
    <w:rsid w:val="00721532"/>
    <w:rsid w:val="00A253DF"/>
    <w:rsid w:val="00F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155F3-B055-4A46-BC8D-B8417D4F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before="120" w:after="12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before="0" w:after="0"/>
    </w:pPr>
  </w:style>
  <w:style w:type="paragraph" w:styleId="FootnoteText">
    <w:name w:val="footnote text"/>
    <w:basedOn w:val="Standard"/>
    <w:pPr>
      <w:spacing w:before="0" w:after="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Bahnik</cp:lastModifiedBy>
  <cp:revision>2</cp:revision>
  <dcterms:created xsi:type="dcterms:W3CDTF">2023-09-30T07:55:00Z</dcterms:created>
  <dcterms:modified xsi:type="dcterms:W3CDTF">2023-09-30T07:55:00Z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