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4A" w:rsidRDefault="0005414A">
      <w:pPr>
        <w:pStyle w:val="Standard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414A" w:rsidRDefault="00697A0F">
      <w:pPr>
        <w:pStyle w:val="Standard"/>
      </w:pPr>
      <w:r>
        <w:rPr>
          <w:rFonts w:ascii="Merriweather" w:hAnsi="Merriweather" w:cs="Times New Roman"/>
          <w:b/>
          <w:sz w:val="18"/>
          <w:szCs w:val="18"/>
          <w:shd w:val="clear" w:color="auto" w:fill="FFFFFF"/>
        </w:rPr>
        <w:t xml:space="preserve"> Izvedbeni plan nastave (</w:t>
      </w:r>
      <w:r>
        <w:rPr>
          <w:rFonts w:ascii="Merriweather" w:hAnsi="Merriweather" w:cs="Times New Roman"/>
          <w:b/>
          <w:i/>
          <w:sz w:val="18"/>
          <w:szCs w:val="18"/>
          <w:shd w:val="clear" w:color="auto" w:fill="FFFFFF"/>
        </w:rPr>
        <w:t>syllabus</w:t>
      </w:r>
      <w:r>
        <w:rPr>
          <w:rFonts w:ascii="Merriweather" w:hAnsi="Merriweather" w:cs="Times New Roman"/>
          <w:b/>
          <w:sz w:val="18"/>
          <w:szCs w:val="18"/>
          <w:shd w:val="clear" w:color="auto" w:fill="FFFFFF"/>
        </w:rPr>
        <w:t>)</w:t>
      </w:r>
      <w:r>
        <w:rPr>
          <w:rStyle w:val="FootnoteReference"/>
          <w:rFonts w:ascii="Merriweather" w:hAnsi="Merriweather"/>
          <w:sz w:val="18"/>
          <w:szCs w:val="18"/>
          <w:shd w:val="clear" w:color="auto" w:fill="FFFFFF"/>
        </w:rPr>
        <w:footnoteReference w:customMarkFollows="1" w:id="1"/>
        <w:t>*</w:t>
      </w:r>
    </w:p>
    <w:tbl>
      <w:tblPr>
        <w:tblW w:w="95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445"/>
        <w:gridCol w:w="416"/>
        <w:gridCol w:w="28"/>
        <w:gridCol w:w="444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482"/>
        <w:gridCol w:w="289"/>
        <w:gridCol w:w="26"/>
        <w:gridCol w:w="199"/>
        <w:gridCol w:w="362"/>
        <w:gridCol w:w="67"/>
        <w:gridCol w:w="203"/>
        <w:gridCol w:w="33"/>
        <w:gridCol w:w="777"/>
      </w:tblGrid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Naziv kolegija</w:t>
            </w:r>
          </w:p>
        </w:tc>
        <w:tc>
          <w:tcPr>
            <w:tcW w:w="5880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Francusko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pjesništvo 19. stoljeća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akad. god.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2023./2024.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Naziv studija</w:t>
            </w:r>
          </w:p>
        </w:tc>
        <w:tc>
          <w:tcPr>
            <w:tcW w:w="5880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Preddiplomski studij francuskog jezika i književnosti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ECTS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Sastavnica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Odjel za francuske i frankofonske studije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Razina studija</w:t>
            </w:r>
          </w:p>
        </w:tc>
        <w:tc>
          <w:tcPr>
            <w:tcW w:w="19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diplomski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integrirani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poslijediplomski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Vrsta studija</w:t>
            </w:r>
          </w:p>
        </w:tc>
        <w:tc>
          <w:tcPr>
            <w:tcW w:w="19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jednopredmetni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sveučilišni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stručni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specijalistički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Godina studija</w:t>
            </w: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3.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4.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5.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Semestar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zimski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ljetni</w:t>
            </w:r>
          </w:p>
        </w:tc>
        <w:tc>
          <w:tcPr>
            <w:tcW w:w="18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III.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IV.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V.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8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VIII.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IX.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X.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Status kolegija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obvezni kolegij</w:t>
            </w:r>
          </w:p>
        </w:tc>
        <w:tc>
          <w:tcPr>
            <w:tcW w:w="18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</w:t>
            </w:r>
          </w:p>
        </w:tc>
        <w:tc>
          <w:tcPr>
            <w:tcW w:w="28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 koji se nudi studentima drugih odjela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Nastavničke kompetencije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NE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</w:t>
            </w:r>
          </w:p>
        </w:tc>
        <w:tc>
          <w:tcPr>
            <w:tcW w:w="377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Mrežne stranice kolegija u sustavu za e-učenje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DA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NE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Mjesto i vrijeme izvođenja nastave</w:t>
            </w: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Vidi raspored ak.god.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2022./2023.</w:t>
            </w:r>
          </w:p>
        </w:tc>
        <w:tc>
          <w:tcPr>
            <w:tcW w:w="377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Jezik/jezici na kojima se izvodi kolegij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Početak nastave</w:t>
            </w: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2.03.2023.</w:t>
            </w:r>
          </w:p>
        </w:tc>
        <w:tc>
          <w:tcPr>
            <w:tcW w:w="377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right"/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Završetak nastave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8.06.2023.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4.06.2020.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Preduvjeti za upis kolegija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 upisani 4. semestar preddiplomskog studija francuskog jezika i književnosti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874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Nositelj kolegija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Vidi raspored ak.god. 2022./2023.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Izvođač kolegija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874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Vrste izvođenja nastave</w:t>
            </w: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seminari i 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vježbe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e-učenje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terenska nastava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samostalni zadaci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laboratorij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mentorski rad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Ishodi učenja kolegija</w:t>
            </w:r>
          </w:p>
        </w:tc>
        <w:tc>
          <w:tcPr>
            <w:tcW w:w="50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 navesti definicije pojmova specifičnih za francusku versifikaciju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objasniti društveno-povijesne prilike u Francuskoj  XIX. st.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 izložiti temeljene značajke francuskog pjesništva romantizma, parnasa, simbolizma, moderne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  svrstati pjesnike i njihova djela  po pjesničkim pravcima u francuskoj književnosti XIX. st.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rPr>
                <w:rFonts w:ascii="Merriweather" w:eastAsia="Times New Roman" w:hAnsi="Merriweather" w:cs="Arial Narrow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Arial Narrow"/>
                <w:sz w:val="18"/>
                <w:szCs w:val="18"/>
                <w:shd w:val="clear" w:color="auto" w:fill="FFFFFF"/>
                <w:lang w:eastAsia="hr-HR"/>
              </w:rPr>
              <w:t xml:space="preserve">- </w:t>
            </w:r>
            <w:r>
              <w:rPr>
                <w:rFonts w:ascii="Merriweather" w:eastAsia="Times New Roman" w:hAnsi="Merriweather" w:cs="Arial Narrow"/>
                <w:sz w:val="18"/>
                <w:szCs w:val="18"/>
                <w:shd w:val="clear" w:color="auto" w:fill="FFFFFF"/>
                <w:lang w:eastAsia="hr-HR"/>
              </w:rPr>
              <w:t>analizirati jezično-stilska obilježja poetskih tekstova najreprezentativnijih francuskih pjesnika XIX. st.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Ishodi učenja na razini programa kojima kolegij doprinosi</w:t>
            </w:r>
          </w:p>
        </w:tc>
        <w:tc>
          <w:tcPr>
            <w:tcW w:w="50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-primijeniti znanja iz povijesti književnosti, teorije književnosti, književne kritike i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teorije kulture u govoru i pismu; pripremiti usmena izlaganja, sastavljati pisane seminarske radove; samostalno čitati stručne, znanstvene i književne tekstove i razumjeti stručne pojmove; primijeniti različite metodologije čitanja i tumačenja književnih t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ekstova; poznavati elemente francuske kulture.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874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Načini praćenja studenata</w:t>
            </w: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domaće zadaće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kontinuirana evaluacija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istraživanje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eksperimentalni rad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izlaganje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projekt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seminar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usmeni ispit</w:t>
            </w:r>
          </w:p>
        </w:tc>
        <w:tc>
          <w:tcPr>
            <w:tcW w:w="1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ostalo: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Uvjeti pristupanja ispitu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-studenti su dužni redovito (70%, odnosno 50% u slučaju kolizije) i aktivno sudjelovati u nastavi; napisati seminarski rad od 8 kartica na zadanu temu (predati pred sâm kraj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semestra).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Ispitni rokovi</w:t>
            </w:r>
          </w:p>
        </w:tc>
        <w:tc>
          <w:tcPr>
            <w:tcW w:w="329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zimski ispitni rok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ljetni ispitni rok</w:t>
            </w:r>
          </w:p>
        </w:tc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jesenski ispitni rok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Termini ispitnih rokova</w:t>
            </w:r>
          </w:p>
        </w:tc>
        <w:tc>
          <w:tcPr>
            <w:tcW w:w="329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15.06.2023.-29.06.2023.</w:t>
            </w:r>
          </w:p>
        </w:tc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7.09.2023.-21.09.2023.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Opis kolegija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 xml:space="preserve">Prvi se dio kolegija odnosi na definiranje osnovnih pojmova i pravila 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 xml:space="preserve">francuske klasične i moderne versifikacije. Drugi dio počinje s kratkim pregledom povijesno-društvenog konteksta u kojem se javljaju glavni pjesnički pravci u francuskoj književnosti XIX. stoljeća kada govorimo o 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lastRenderedPageBreak/>
              <w:t>„zlatnom dobu” francuske poezije kako po st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varalačkoj snazi tako i po brojnosti pjesnika, pjesničkih struja i raznovrsnosti pjesničkih oblika. Romantizam je dao dvije generacije pjesnika (1820. i 1830.), na čelu s Victorom Hugoom, težeći ostvariti književne, individualne i političke slobode (Lamart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ine, Vigny, Musset, Nerval, Bertrand). Na pretjerano isticanje osjećaja u pjesništvu romantizma javlja se reakcija : pjesništvo postaje samo sebi svrhom, «l'art pour l'art», kult Ljepote, pjesnici parnasovci (Gautier, Leconte de Lisle, Heredia). Preteča pj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esničkog moderniteta Charles Baudelaire obilježava prekretnicu u povijesti francuske poezije: baudelairovsku poetiku definirat će se kao sintezu klasicizma i pjesničke imaginarnosti, dok će istraživanja pjesničkog jezika dovesti - preko simbolista Verlaine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a i Rimbauda -do Mallarméove „čiste poezije“.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Sadržaj kolegija (nastavne teme)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eastAsia="hr-HR"/>
              </w:rPr>
              <w:t>Notions de versification I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eastAsia="hr-HR"/>
              </w:rPr>
              <w:t>Notions de versification II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eastAsia="hr-HR"/>
              </w:rPr>
              <w:t xml:space="preserve">La poésie romantique dans le contexte historique et littéraire ; ses caractéristiques et ses grands poètes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eastAsia="hr-HR"/>
              </w:rPr>
              <w:t>(Lamartine, Vigny, Musset, Hugo).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Alphonse de Lamartine (1790-1869) et le nouveau discours poétique: le Moi sujet et objet du poème.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a) 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Les Destinées</w:t>
            </w:r>
            <w:r>
              <w:rPr>
                <w:rFonts w:ascii="Merriweather" w:eastAsia="MS Gothic" w:hAnsi="Merriweather" w:cs="Arial Narrow"/>
                <w:iCs/>
                <w:sz w:val="18"/>
                <w:szCs w:val="18"/>
                <w:shd w:val="clear" w:color="auto" w:fill="FFFFFF"/>
                <w:lang w:val="fr-FR" w:eastAsia="hr-HR"/>
              </w:rPr>
              <w:t xml:space="preserve"> d´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Alfred de Vigny (1797-1863): un </w:t>
            </w:r>
            <w:r>
              <w:rPr>
                <w:rFonts w:ascii="Merriweather" w:eastAsia="MS Gothic" w:hAnsi="Merriweather" w:cs="Arial Narrow"/>
                <w:iCs/>
                <w:sz w:val="18"/>
                <w:szCs w:val="18"/>
                <w:shd w:val="clear" w:color="auto" w:fill="FFFFFF"/>
                <w:lang w:val="fr-FR" w:eastAsia="hr-HR"/>
              </w:rPr>
              <w:t>itinéraire philosophique et poétique;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b)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Les Nuits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 d´Alfred de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Musset (1810-1857): une chronique sentimentale du poète désenchanté.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Victor Hugo (1802-1885) et le pouvoir de tout dire: poète lyrique (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Les Rayons et les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Ombres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), élégiaque (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Les Contemplations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).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7.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Victor Hugo: poète satirique (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Les Châtiments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) et épique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 xml:space="preserve"> (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 w:eastAsia="hr-HR"/>
              </w:rPr>
              <w:t>La Légende des siècles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 w:eastAsia="hr-HR"/>
              </w:rPr>
              <w:t>).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8. Le romantisme noir : a) Gérard de Nerval (1808-1855); b) Aloysius de Bertrand (1807-1841) et le poème en prose 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9. La réaction poétique contre le romantisme : l'art pour l'art et la poésie parnassienne (Gautier, Banville, Lec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onte de Lisle, Heredia)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10. Charles Baudelaire (1821-1867) et la modernité :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Les Fleurs du mal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11. Continuité thématique dans les poèmes en prose du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Spleen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de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Paris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12. Le symbolisme en poésie : Paul Verlaine (1844-1896)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13. Arthur Rimbaud (1854-1891) ou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délires poétiques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14. Stéphane Mallarmé (1842-1898): une poésie pure. Un coup de dés jamais n'abolira le hasard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15. Apprendre à lire Mallarmé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Obvezna literatura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</w:rPr>
              <w:t xml:space="preserve">-Desnos, G.: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</w:rPr>
              <w:t>Introduction à l´analyse du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</w:rPr>
              <w:t>poème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</w:rPr>
              <w:t>, Bordas (1991)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-Benet, R. La poésie française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au XIXe siècle : du romantisme au symbolisme, Paris, Hatier, 2011.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Dodatna literatura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-Gouvard, J-M.: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>La versification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, PUF (1999)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-Mazaleyrat, J., Molinié, G.: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>Vocabulaire de la stylistique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, PUF (1989)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-Sabatier, R.: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 xml:space="preserve">Histoire de la poésie française,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>XIXe siècle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, I–II, Albin Michel (1977)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-Rincé, D. 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 xml:space="preserve">La poésie française du XIXe siècle, PUF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(1999)   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-Rincé, R. – Lecherbonnier, B. 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>LITTERATURE, Textes et documents, XIXe siècle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,  Nathan (2000)</w:t>
            </w:r>
          </w:p>
          <w:p w:rsidR="0005414A" w:rsidRDefault="00697A0F">
            <w:pPr>
              <w:pStyle w:val="Standard"/>
              <w:tabs>
                <w:tab w:val="left" w:pos="2820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-Rincé, D.: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shd w:val="clear" w:color="auto" w:fill="FFFFFF"/>
                <w:lang w:val="fr-FR"/>
              </w:rPr>
              <w:t>Baudelaire et la modernité poétique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>, PUF (2001)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.  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Provjera ishoda učenja (prema uputama AZVO)</w:t>
            </w:r>
          </w:p>
        </w:tc>
        <w:tc>
          <w:tcPr>
            <w:tcW w:w="650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završni ispit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05414A" w:rsidRDefault="00697A0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05414A" w:rsidRDefault="00697A0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usmeni ispit</w:t>
            </w:r>
          </w:p>
        </w:tc>
        <w:tc>
          <w:tcPr>
            <w:tcW w:w="20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 usmeni završni ispit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lastRenderedPageBreak/>
              <w:t>čni rad i završni ispit</w:t>
            </w:r>
          </w:p>
        </w:tc>
        <w:tc>
          <w:tcPr>
            <w:tcW w:w="7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05414A" w:rsidRDefault="00697A0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</w:t>
            </w:r>
          </w:p>
        </w:tc>
        <w:tc>
          <w:tcPr>
            <w:tcW w:w="1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05414A" w:rsidRDefault="00697A0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 i završni ispit</w:t>
            </w:r>
          </w:p>
        </w:tc>
        <w:tc>
          <w:tcPr>
            <w:tcW w:w="16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praktični rad</w:t>
            </w: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 formiranja završne ocjene (%)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Seminarski rad 33%, usmeni ispit 67 %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Ocjenjivanje</w:t>
            </w:r>
          </w:p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/upisati postotak ili broj bodova za elemente koji se ocjenjuju/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0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nedovoljan (1)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0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dovoljan (2)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0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dobar (3)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0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vrlo dobar (4)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05414A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0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izvrstan (5)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 praćenja kvalitete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Sveučilišta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sastavnice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interna evaluacija nastave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tematske sjednice stručnih vijeća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sastavnica o kvaliteti nastave i rezultatima studentske ankete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05414A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Napomena / Ostalo</w:t>
            </w:r>
          </w:p>
        </w:tc>
        <w:tc>
          <w:tcPr>
            <w:tcW w:w="671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Odbora za etiku u znanosti i visokom obrazovanju, „od studenta se očekuje da pošteno i etično ispunjava svoje obveze, da mu je temel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jni cilj akademska izvrsnost, da se ponaša civilizirano, s poštovanjem i bez predrasuda“.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Sveučilišta u Zadru, od studenata se očekuje „odgovorno i savjesno ispunjavanje obveza. […] Dužnost je studenata/studentica čuvati ugled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i dostojanstvo svih članova/članica sveučilišne zajednice i Sveučilišta u Zadru u cjelini, promovirati moralne i akademske vrijednosti i načela.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[…]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Etički je nedopušten svaki čin koji predstavlja povrjedu akademskog poštenja. To uključuje, ali se ne ogra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ničava samo na: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- razne oblike krivotvorenja kao što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lastRenderedPageBreak/>
              <w:t>Svi oblici n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eetičnog ponašanja rezultirat će negativnom ocjenom u kolegiju bez mogućnosti nadoknade ili popravka. U slučaju težih povreda primjenjuje se </w:t>
            </w:r>
            <w:hyperlink r:id="rId6" w:history="1"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  <w:shd w:val="clear" w:color="auto" w:fill="FFFFFF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 elektronskoj komunikaciji bit će odgovarano samo na poruke koje dolaze s poznatih adresa s imenom i prezimenom, te koje su napisane hrvatskim standardom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i primjerenim akademskim stilom.</w:t>
            </w:r>
          </w:p>
          <w:p w:rsidR="0005414A" w:rsidRDefault="0005414A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05414A" w:rsidRDefault="00697A0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potrebni AAI računi.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/izbrisati po potrebi/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4A" w:rsidRDefault="0005414A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</w:tbl>
    <w:p w:rsidR="0005414A" w:rsidRDefault="0005414A">
      <w:pPr>
        <w:pStyle w:val="Standard"/>
        <w:rPr>
          <w:rFonts w:ascii="Merriweather" w:hAnsi="Merriweather"/>
          <w:sz w:val="18"/>
          <w:szCs w:val="18"/>
          <w:shd w:val="clear" w:color="auto" w:fill="FFFFFF"/>
        </w:rPr>
      </w:pPr>
    </w:p>
    <w:sectPr w:rsidR="0005414A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0F" w:rsidRDefault="00697A0F">
      <w:pPr>
        <w:spacing w:before="0" w:after="0"/>
      </w:pPr>
      <w:r>
        <w:separator/>
      </w:r>
    </w:p>
  </w:endnote>
  <w:endnote w:type="continuationSeparator" w:id="0">
    <w:p w:rsidR="00697A0F" w:rsidRDefault="00697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0F" w:rsidRDefault="00697A0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697A0F" w:rsidRDefault="00697A0F">
      <w:pPr>
        <w:spacing w:before="0" w:after="0"/>
      </w:pPr>
      <w:r>
        <w:continuationSeparator/>
      </w:r>
    </w:p>
  </w:footnote>
  <w:footnote w:id="1">
    <w:p w:rsidR="0005414A" w:rsidRDefault="00697A0F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3C" w:rsidRDefault="00697A0F">
    <w:pPr>
      <w:pStyle w:val="Heading2"/>
      <w:tabs>
        <w:tab w:val="left" w:pos="1418"/>
      </w:tabs>
      <w:spacing w:before="0" w:after="0"/>
      <w:ind w:left="1560"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173B3C" w:rsidRDefault="00697A0F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173B3C" w:rsidRDefault="00697A0F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173B3C" w:rsidRDefault="00697A0F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173B3C" w:rsidRDefault="00697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14A"/>
    <w:rsid w:val="0005414A"/>
    <w:rsid w:val="00697A0F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035B4-3DFA-48F0-AF89-D4D451E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2023-09-30T07:52:00Z</dcterms:created>
  <dcterms:modified xsi:type="dcterms:W3CDTF">2023-09-30T07:52:00Z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