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7" w:type="dxa"/>
        <w:tblInd w:w="-108" w:type="dxa"/>
        <w:tblLayout w:type="fixed"/>
        <w:tblCellMar>
          <w:left w:w="10" w:type="dxa"/>
          <w:right w:w="10" w:type="dxa"/>
        </w:tblCellMar>
        <w:tblLook w:val="04A0" w:firstRow="1" w:lastRow="0" w:firstColumn="1" w:lastColumn="0" w:noHBand="0" w:noVBand="1"/>
      </w:tblPr>
      <w:tblGrid>
        <w:gridCol w:w="1335"/>
        <w:gridCol w:w="1380"/>
        <w:gridCol w:w="2219"/>
        <w:gridCol w:w="932"/>
        <w:gridCol w:w="932"/>
        <w:gridCol w:w="932"/>
        <w:gridCol w:w="1435"/>
        <w:gridCol w:w="122"/>
      </w:tblGrid>
      <w:tr w:rsidR="00BE0F16">
        <w:tblPrEx>
          <w:tblCellMar>
            <w:top w:w="0" w:type="dxa"/>
            <w:bottom w:w="0" w:type="dxa"/>
          </w:tblCellMar>
        </w:tblPrEx>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E0F16">
            <w:pPr>
              <w:pStyle w:val="Standard"/>
              <w:spacing w:after="0" w:line="240" w:lineRule="auto"/>
            </w:pPr>
            <w:bookmarkStart w:id="0" w:name="_GoBack"/>
            <w:bookmarkEnd w:id="0"/>
          </w:p>
        </w:tc>
        <w:tc>
          <w:tcPr>
            <w:tcW w:w="78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jc w:val="center"/>
            </w:pPr>
            <w:r>
              <w:t>Department</w:t>
            </w:r>
          </w:p>
          <w:p w:rsidR="00BE0F16" w:rsidRDefault="00BC5EED">
            <w:pPr>
              <w:pStyle w:val="Standard"/>
              <w:spacing w:after="0" w:line="240" w:lineRule="auto"/>
              <w:jc w:val="center"/>
            </w:pPr>
            <w:r>
              <w:t>Study programme</w:t>
            </w:r>
          </w:p>
        </w:tc>
        <w:tc>
          <w:tcPr>
            <w:tcW w:w="122" w:type="dxa"/>
            <w:shd w:val="clear" w:color="auto" w:fill="auto"/>
            <w:tcMar>
              <w:top w:w="0" w:type="dxa"/>
              <w:left w:w="10" w:type="dxa"/>
              <w:bottom w:w="0" w:type="dxa"/>
              <w:right w:w="10" w:type="dxa"/>
            </w:tcMar>
          </w:tcPr>
          <w:p w:rsidR="00BE0F16" w:rsidRDefault="00BE0F16">
            <w:pPr>
              <w:pStyle w:val="Standard"/>
            </w:pPr>
          </w:p>
        </w:tc>
      </w:tr>
      <w:tr w:rsidR="00BE0F16">
        <w:tblPrEx>
          <w:tblCellMar>
            <w:top w:w="0" w:type="dxa"/>
            <w:bottom w:w="0" w:type="dxa"/>
          </w:tblCellMar>
        </w:tblPrEx>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Description of the study programme</w:t>
            </w:r>
          </w:p>
        </w:tc>
        <w:tc>
          <w:tcPr>
            <w:tcW w:w="78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E0F16">
            <w:pPr>
              <w:pStyle w:val="Standard"/>
              <w:spacing w:after="0" w:line="240" w:lineRule="auto"/>
            </w:pPr>
          </w:p>
        </w:tc>
        <w:tc>
          <w:tcPr>
            <w:tcW w:w="122" w:type="dxa"/>
            <w:shd w:val="clear" w:color="auto" w:fill="auto"/>
            <w:tcMar>
              <w:top w:w="0" w:type="dxa"/>
              <w:left w:w="10" w:type="dxa"/>
              <w:bottom w:w="0" w:type="dxa"/>
              <w:right w:w="10" w:type="dxa"/>
            </w:tcMar>
          </w:tcPr>
          <w:p w:rsidR="00BE0F16" w:rsidRDefault="00BE0F16">
            <w:pPr>
              <w:pStyle w:val="Standard"/>
            </w:pPr>
          </w:p>
        </w:tc>
      </w:tr>
      <w:tr w:rsidR="00BE0F16">
        <w:tblPrEx>
          <w:tblCellMar>
            <w:top w:w="0" w:type="dxa"/>
            <w:bottom w:w="0" w:type="dxa"/>
          </w:tblCellMar>
        </w:tblPrEx>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Learning outcomes of the study programme</w:t>
            </w:r>
          </w:p>
        </w:tc>
        <w:tc>
          <w:tcPr>
            <w:tcW w:w="78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E0F16">
            <w:pPr>
              <w:pStyle w:val="Standard"/>
              <w:spacing w:after="0" w:line="240" w:lineRule="auto"/>
            </w:pPr>
          </w:p>
        </w:tc>
        <w:tc>
          <w:tcPr>
            <w:tcW w:w="122" w:type="dxa"/>
            <w:shd w:val="clear" w:color="auto" w:fill="auto"/>
            <w:tcMar>
              <w:top w:w="0" w:type="dxa"/>
              <w:left w:w="10" w:type="dxa"/>
              <w:bottom w:w="0" w:type="dxa"/>
              <w:right w:w="10" w:type="dxa"/>
            </w:tcMar>
          </w:tcPr>
          <w:p w:rsidR="00BE0F16" w:rsidRDefault="00BE0F16">
            <w:pPr>
              <w:pStyle w:val="Standard"/>
            </w:pPr>
          </w:p>
        </w:tc>
      </w:tr>
      <w:tr w:rsidR="00BE0F16">
        <w:tblPrEx>
          <w:tblCellMar>
            <w:top w:w="0" w:type="dxa"/>
            <w:bottom w:w="0" w:type="dxa"/>
          </w:tblCellMar>
        </w:tblPrEx>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 xml:space="preserve">List of courses offered in a foreign language in winter term (by </w:t>
            </w:r>
            <w:r>
              <w:t>semesters)</w:t>
            </w:r>
          </w:p>
        </w:tc>
        <w:tc>
          <w:tcPr>
            <w:tcW w:w="78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E0F16">
            <w:pPr>
              <w:pStyle w:val="Standard"/>
              <w:spacing w:after="0" w:line="240" w:lineRule="auto"/>
            </w:pPr>
          </w:p>
        </w:tc>
        <w:tc>
          <w:tcPr>
            <w:tcW w:w="122" w:type="dxa"/>
            <w:shd w:val="clear" w:color="auto" w:fill="auto"/>
            <w:tcMar>
              <w:top w:w="0" w:type="dxa"/>
              <w:left w:w="10" w:type="dxa"/>
              <w:bottom w:w="0" w:type="dxa"/>
              <w:right w:w="10" w:type="dxa"/>
            </w:tcMar>
          </w:tcPr>
          <w:p w:rsidR="00BE0F16" w:rsidRDefault="00BE0F16">
            <w:pPr>
              <w:pStyle w:val="Standard"/>
            </w:pPr>
          </w:p>
        </w:tc>
      </w:tr>
      <w:tr w:rsidR="00BE0F16">
        <w:tblPrEx>
          <w:tblCellMar>
            <w:top w:w="0" w:type="dxa"/>
            <w:bottom w:w="0" w:type="dxa"/>
          </w:tblCellMar>
        </w:tblPrEx>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List of courses  offered in a foreign language in summer term (by semesters)</w:t>
            </w:r>
          </w:p>
        </w:tc>
        <w:tc>
          <w:tcPr>
            <w:tcW w:w="78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E0F16">
            <w:pPr>
              <w:pStyle w:val="Standard"/>
              <w:spacing w:after="0" w:line="240" w:lineRule="auto"/>
            </w:pPr>
          </w:p>
        </w:tc>
        <w:tc>
          <w:tcPr>
            <w:tcW w:w="122" w:type="dxa"/>
            <w:shd w:val="clear" w:color="auto" w:fill="auto"/>
            <w:tcMar>
              <w:top w:w="0" w:type="dxa"/>
              <w:left w:w="10" w:type="dxa"/>
              <w:bottom w:w="0" w:type="dxa"/>
              <w:right w:w="10" w:type="dxa"/>
            </w:tcMar>
          </w:tcPr>
          <w:p w:rsidR="00BE0F16" w:rsidRDefault="00BE0F16">
            <w:pPr>
              <w:pStyle w:val="Standard"/>
            </w:pPr>
          </w:p>
        </w:tc>
      </w:tr>
      <w:tr w:rsidR="00BE0F16">
        <w:tblPrEx>
          <w:tblCellMar>
            <w:top w:w="0" w:type="dxa"/>
            <w:bottom w:w="0" w:type="dxa"/>
          </w:tblCellMar>
        </w:tblPrEx>
        <w:tc>
          <w:tcPr>
            <w:tcW w:w="9165"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jc w:val="center"/>
            </w:pPr>
            <w:r>
              <w:t>Description of the courses  offered in a foreign language</w:t>
            </w:r>
          </w:p>
        </w:tc>
        <w:tc>
          <w:tcPr>
            <w:tcW w:w="122" w:type="dxa"/>
            <w:shd w:val="clear" w:color="auto" w:fill="auto"/>
            <w:tcMar>
              <w:top w:w="0" w:type="dxa"/>
              <w:left w:w="10" w:type="dxa"/>
              <w:bottom w:w="0" w:type="dxa"/>
              <w:right w:w="10" w:type="dxa"/>
            </w:tcMar>
          </w:tcPr>
          <w:p w:rsidR="00BE0F16" w:rsidRDefault="00BE0F16">
            <w:pPr>
              <w:pStyle w:val="Standard"/>
            </w:pPr>
          </w:p>
        </w:tc>
      </w:tr>
      <w:tr w:rsidR="00BE0F16">
        <w:tblPrEx>
          <w:tblCellMar>
            <w:top w:w="0" w:type="dxa"/>
            <w:bottom w:w="0" w:type="dxa"/>
          </w:tblCellMar>
        </w:tblPrEx>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Name of the course</w:t>
            </w:r>
          </w:p>
        </w:tc>
        <w:tc>
          <w:tcPr>
            <w:tcW w:w="78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before="120" w:after="120" w:line="240" w:lineRule="auto"/>
              <w:jc w:val="both"/>
              <w:rPr>
                <w:rFonts w:ascii="Century Gothic" w:hAnsi="Century Gothic" w:cs="Century Gothic"/>
                <w:b/>
                <w:bCs/>
                <w:sz w:val="20"/>
                <w:szCs w:val="20"/>
              </w:rPr>
            </w:pPr>
            <w:r>
              <w:rPr>
                <w:rFonts w:ascii="Century Gothic" w:hAnsi="Century Gothic" w:cs="Century Gothic"/>
                <w:b/>
                <w:bCs/>
                <w:sz w:val="20"/>
                <w:szCs w:val="20"/>
              </w:rPr>
              <w:t>Les relations franco-croates à travers les siècles</w:t>
            </w:r>
          </w:p>
        </w:tc>
        <w:tc>
          <w:tcPr>
            <w:tcW w:w="122" w:type="dxa"/>
            <w:shd w:val="clear" w:color="auto" w:fill="auto"/>
            <w:tcMar>
              <w:top w:w="0" w:type="dxa"/>
              <w:left w:w="10" w:type="dxa"/>
              <w:bottom w:w="0" w:type="dxa"/>
              <w:right w:w="10" w:type="dxa"/>
            </w:tcMar>
          </w:tcPr>
          <w:p w:rsidR="00BE0F16" w:rsidRDefault="00BE0F16">
            <w:pPr>
              <w:pStyle w:val="Standard"/>
            </w:pPr>
          </w:p>
        </w:tc>
      </w:tr>
      <w:tr w:rsidR="00BE0F16">
        <w:tblPrEx>
          <w:tblCellMar>
            <w:top w:w="0" w:type="dxa"/>
            <w:bottom w:w="0" w:type="dxa"/>
          </w:tblCellMar>
        </w:tblPrEx>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Number of ECTS credits</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3</w:t>
            </w:r>
          </w:p>
        </w:tc>
        <w:tc>
          <w:tcPr>
            <w:tcW w:w="22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Manner of implementation of the study programme</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L</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E</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S</w:t>
            </w:r>
          </w:p>
        </w:tc>
        <w:tc>
          <w:tcPr>
            <w:tcW w:w="15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Semester</w:t>
            </w:r>
          </w:p>
          <w:p w:rsidR="00BE0F16" w:rsidRDefault="00BC5EED">
            <w:pPr>
              <w:pStyle w:val="Standard"/>
              <w:spacing w:after="0" w:line="240" w:lineRule="auto"/>
            </w:pPr>
            <w:r>
              <w:t>6</w:t>
            </w:r>
          </w:p>
        </w:tc>
      </w:tr>
      <w:tr w:rsidR="00BE0F16">
        <w:tblPrEx>
          <w:tblCellMar>
            <w:top w:w="0" w:type="dxa"/>
            <w:bottom w:w="0" w:type="dxa"/>
          </w:tblCellMar>
        </w:tblPrEx>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t>Description of the course</w:t>
            </w:r>
          </w:p>
        </w:tc>
        <w:tc>
          <w:tcPr>
            <w:tcW w:w="78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jc w:val="both"/>
            </w:pPr>
            <w:r>
              <w:rPr>
                <w:rFonts w:ascii="Arial" w:hAnsi="Arial" w:cs="Century Gothic"/>
                <w:bCs/>
                <w:sz w:val="20"/>
                <w:szCs w:val="20"/>
              </w:rPr>
              <w:t xml:space="preserve">La Croatie est un </w:t>
            </w:r>
            <w:r>
              <w:rPr>
                <w:rFonts w:ascii="Arial" w:hAnsi="Arial" w:cs="Century Gothic"/>
                <w:bCs/>
                <w:i/>
                <w:iCs/>
                <w:sz w:val="20"/>
                <w:szCs w:val="20"/>
              </w:rPr>
              <w:t>nouveau</w:t>
            </w:r>
            <w:r>
              <w:rPr>
                <w:rFonts w:ascii="Arial" w:hAnsi="Arial" w:cs="Century Gothic"/>
                <w:bCs/>
                <w:sz w:val="20"/>
                <w:szCs w:val="20"/>
              </w:rPr>
              <w:t xml:space="preserve"> pays en Europe depuis le 15 janvier 1992. Pourtant les Croates sont l'un des plus anciens peuples de l'Europe qui, depuis le VII siècle, </w:t>
            </w:r>
            <w:r>
              <w:rPr>
                <w:rFonts w:ascii="Arial" w:hAnsi="Arial" w:cs="Century Gothic"/>
                <w:bCs/>
                <w:sz w:val="20"/>
                <w:szCs w:val="20"/>
              </w:rPr>
              <w:t xml:space="preserve">malgré les guerres et les dominations étrangères, ont su préserver leur  identité nationale. La Croatie est située aux frontières de l'Europe centrale, de l'Europe occidentale, de l'Europe méditerranéenne, de l'Europe de l'est et de l'Europe balkanique, à </w:t>
            </w:r>
            <w:r>
              <w:rPr>
                <w:rFonts w:ascii="Arial" w:hAnsi="Arial" w:cs="Century Gothic"/>
                <w:bCs/>
                <w:sz w:val="20"/>
                <w:szCs w:val="20"/>
              </w:rPr>
              <w:t>l'ouest de la célèbre frontière de 395 de l'empereur romain Théodose qui divisa, jadis comme aujourd'hui L'Occident et l'Orient, l'Europe occidentale et l'Europe orientale. A partir du VII siècle, la Croatie est profondément ancrée à l'Occident par la chri</w:t>
            </w:r>
            <w:r>
              <w:rPr>
                <w:rFonts w:ascii="Arial" w:hAnsi="Arial" w:cs="Century Gothic"/>
                <w:bCs/>
                <w:sz w:val="20"/>
                <w:szCs w:val="20"/>
              </w:rPr>
              <w:t>stianisation venue de Rome et non de Byzance, par l'adoption du latin, comme langue officielle du pays pendant dix siècles (925-1847), et par sa culture. La Croatie a fait partie du Royaume Hongrie-Croatie, de 1102 à 1526 et de l'Empire des Habsbourg, de 1</w:t>
            </w:r>
            <w:r>
              <w:rPr>
                <w:rFonts w:ascii="Arial" w:hAnsi="Arial" w:cs="Century Gothic"/>
                <w:bCs/>
                <w:sz w:val="20"/>
                <w:szCs w:val="20"/>
              </w:rPr>
              <w:t>527 à 1918. Ancrée en Europe occidentale, la Croatie est très proche de la France depuis le IXe siècle:</w:t>
            </w:r>
          </w:p>
          <w:p w:rsidR="00BE0F16" w:rsidRDefault="00BC5EED">
            <w:pPr>
              <w:pStyle w:val="Standard"/>
              <w:jc w:val="both"/>
              <w:rPr>
                <w:rFonts w:ascii="Arial" w:hAnsi="Arial" w:cs="Century Gothic"/>
                <w:bCs/>
                <w:sz w:val="20"/>
                <w:szCs w:val="20"/>
              </w:rPr>
            </w:pPr>
            <w:r>
              <w:rPr>
                <w:rFonts w:ascii="Arial" w:hAnsi="Arial" w:cs="Century Gothic"/>
                <w:bCs/>
                <w:sz w:val="20"/>
                <w:szCs w:val="20"/>
              </w:rPr>
              <w:t>-Elle a fait partie de l'Empire carolingien au IX e siècle et des Provinces Illyriennes de Napoléon. Au XVIIe siècle, les Croates voulurent offrir la co</w:t>
            </w:r>
            <w:r>
              <w:rPr>
                <w:rFonts w:ascii="Arial" w:hAnsi="Arial" w:cs="Century Gothic"/>
                <w:bCs/>
                <w:sz w:val="20"/>
                <w:szCs w:val="20"/>
              </w:rPr>
              <w:t>uronne de Croatie à Louis XIV;</w:t>
            </w:r>
          </w:p>
          <w:p w:rsidR="00BE0F16" w:rsidRDefault="00BC5EED">
            <w:pPr>
              <w:pStyle w:val="Standard"/>
              <w:jc w:val="both"/>
              <w:rPr>
                <w:rFonts w:ascii="Arial" w:hAnsi="Arial" w:cs="Century Gothic"/>
                <w:bCs/>
                <w:sz w:val="20"/>
                <w:szCs w:val="20"/>
              </w:rPr>
            </w:pPr>
            <w:r>
              <w:rPr>
                <w:rFonts w:ascii="Arial" w:hAnsi="Arial" w:cs="Century Gothic"/>
                <w:bCs/>
                <w:sz w:val="20"/>
                <w:szCs w:val="20"/>
              </w:rPr>
              <w:t>-De nombreux ordres religieux français: Bénédictins, Cisterciens, Templiers, Dominicains, Hospitaliers, Salésiens, Augustiniens, Trappistes, y sont présents très tôt et ils ont des liens suivis avec les monastères de France;</w:t>
            </w:r>
          </w:p>
          <w:p w:rsidR="00BE0F16" w:rsidRDefault="00BC5EED">
            <w:pPr>
              <w:pStyle w:val="Standard"/>
              <w:jc w:val="both"/>
              <w:rPr>
                <w:rFonts w:ascii="Arial" w:hAnsi="Arial" w:cs="Century Gothic"/>
                <w:bCs/>
                <w:sz w:val="20"/>
                <w:szCs w:val="20"/>
              </w:rPr>
            </w:pPr>
            <w:r>
              <w:rPr>
                <w:rFonts w:ascii="Arial" w:hAnsi="Arial" w:cs="Century Gothic"/>
                <w:bCs/>
                <w:sz w:val="20"/>
                <w:szCs w:val="20"/>
              </w:rPr>
              <w:lastRenderedPageBreak/>
              <w:t>-La Révolution Française y a une influence importante;</w:t>
            </w:r>
          </w:p>
          <w:p w:rsidR="00BE0F16" w:rsidRDefault="00BC5EED">
            <w:pPr>
              <w:pStyle w:val="Standard"/>
              <w:spacing w:after="0" w:line="240" w:lineRule="auto"/>
              <w:jc w:val="both"/>
              <w:rPr>
                <w:rFonts w:ascii="Arial" w:hAnsi="Arial" w:cs="Century Gothic"/>
                <w:bCs/>
                <w:sz w:val="20"/>
                <w:szCs w:val="20"/>
              </w:rPr>
            </w:pPr>
            <w:r>
              <w:rPr>
                <w:rFonts w:ascii="Arial" w:hAnsi="Arial" w:cs="Century Gothic"/>
                <w:bCs/>
                <w:sz w:val="20"/>
                <w:szCs w:val="20"/>
              </w:rPr>
              <w:t>-Des miliers d’étudiants, savants et artistes croates faisaient leurs études en France, notamment à Paris.</w:t>
            </w:r>
          </w:p>
          <w:p w:rsidR="00BE0F16" w:rsidRDefault="00BE0F16">
            <w:pPr>
              <w:pStyle w:val="Standard"/>
              <w:spacing w:after="0" w:line="240" w:lineRule="auto"/>
              <w:jc w:val="both"/>
              <w:rPr>
                <w:rFonts w:ascii="Arial" w:hAnsi="Arial" w:cs="Century Gothic"/>
                <w:bCs/>
                <w:sz w:val="20"/>
                <w:szCs w:val="20"/>
              </w:rPr>
            </w:pPr>
          </w:p>
          <w:p w:rsidR="00BE0F16" w:rsidRDefault="00BE0F16">
            <w:pPr>
              <w:pStyle w:val="Standard"/>
              <w:spacing w:after="0" w:line="240" w:lineRule="auto"/>
              <w:jc w:val="both"/>
              <w:rPr>
                <w:rFonts w:ascii="Arial" w:hAnsi="Arial" w:cs="Century Gothic"/>
                <w:bCs/>
                <w:sz w:val="20"/>
                <w:szCs w:val="20"/>
              </w:rPr>
            </w:pPr>
          </w:p>
          <w:p w:rsidR="00BE0F16" w:rsidRDefault="00BC5EED">
            <w:pPr>
              <w:pStyle w:val="Standard"/>
              <w:numPr>
                <w:ilvl w:val="0"/>
                <w:numId w:val="1"/>
              </w:numPr>
              <w:jc w:val="both"/>
            </w:pPr>
            <w:r>
              <w:rPr>
                <w:rFonts w:ascii="Arial" w:hAnsi="Arial" w:cs="Century Gothic"/>
                <w:bCs/>
                <w:sz w:val="20"/>
                <w:szCs w:val="20"/>
              </w:rPr>
              <w:t>Les relations franco-croates du XIIIe au XIe si</w:t>
            </w:r>
            <w:r>
              <w:rPr>
                <w:rFonts w:ascii="Arial" w:eastAsia="Times New Roman" w:hAnsi="Arial" w:cs="Segoe UI"/>
                <w:bCs/>
                <w:sz w:val="20"/>
                <w:szCs w:val="20"/>
              </w:rPr>
              <w:t>è</w:t>
            </w:r>
            <w:r>
              <w:rPr>
                <w:rFonts w:ascii="Arial" w:eastAsia="Times New Roman" w:hAnsi="Arial" w:cs="Century Gothic"/>
                <w:bCs/>
                <w:sz w:val="20"/>
                <w:szCs w:val="20"/>
              </w:rPr>
              <w:t>cles (La Croatie dans l</w:t>
            </w:r>
            <w:r>
              <w:rPr>
                <w:rFonts w:ascii="Arial" w:eastAsia="Times New Roman" w:hAnsi="Arial" w:cs="Segoe UI"/>
                <w:bCs/>
                <w:sz w:val="20"/>
                <w:szCs w:val="20"/>
              </w:rPr>
              <w:t>ʾ</w:t>
            </w:r>
            <w:r>
              <w:rPr>
                <w:rFonts w:ascii="Arial" w:eastAsia="Times New Roman" w:hAnsi="Arial" w:cs="Century Gothic"/>
                <w:bCs/>
                <w:sz w:val="20"/>
                <w:szCs w:val="20"/>
              </w:rPr>
              <w:t xml:space="preserve">Empire de </w:t>
            </w:r>
            <w:r>
              <w:rPr>
                <w:rFonts w:ascii="Arial" w:eastAsia="Times New Roman" w:hAnsi="Arial" w:cs="Century Gothic"/>
                <w:bCs/>
                <w:sz w:val="20"/>
                <w:szCs w:val="20"/>
              </w:rPr>
              <w:t>Charlemagne; L</w:t>
            </w:r>
            <w:r>
              <w:rPr>
                <w:rFonts w:ascii="Arial" w:eastAsia="Times New Roman" w:hAnsi="Arial" w:cs="Segoe UI"/>
                <w:bCs/>
                <w:sz w:val="20"/>
                <w:szCs w:val="20"/>
              </w:rPr>
              <w:t xml:space="preserve">ʾÉglise franque de Saint-Donat à Zadar; Les Bénédictins francs en Croatie; Petite histoire de la croix de Lorraine; </w:t>
            </w:r>
            <w:r>
              <w:rPr>
                <w:rFonts w:ascii="Arial" w:eastAsia="Times New Roman" w:hAnsi="Arial" w:cs="Century Gothic"/>
                <w:bCs/>
                <w:sz w:val="20"/>
                <w:szCs w:val="20"/>
              </w:rPr>
              <w:t>L</w:t>
            </w:r>
            <w:r>
              <w:rPr>
                <w:rFonts w:ascii="Arial" w:eastAsia="Times New Roman" w:hAnsi="Arial" w:cs="Segoe UI"/>
                <w:bCs/>
                <w:sz w:val="20"/>
                <w:szCs w:val="20"/>
              </w:rPr>
              <w:t xml:space="preserve">ʾinfluence franque sur le développement de lʾart en Croatie du IXe et au XIe </w:t>
            </w:r>
            <w:r>
              <w:rPr>
                <w:rFonts w:ascii="Arial" w:eastAsia="Times New Roman" w:hAnsi="Arial" w:cs="Century Gothic"/>
                <w:bCs/>
                <w:sz w:val="20"/>
                <w:szCs w:val="20"/>
              </w:rPr>
              <w:t>si</w:t>
            </w:r>
            <w:r>
              <w:rPr>
                <w:rFonts w:ascii="Arial" w:eastAsia="Times New Roman" w:hAnsi="Arial" w:cs="Segoe UI"/>
                <w:bCs/>
                <w:sz w:val="20"/>
                <w:szCs w:val="20"/>
              </w:rPr>
              <w:t>è</w:t>
            </w:r>
            <w:r>
              <w:rPr>
                <w:rFonts w:ascii="Arial" w:eastAsia="Times New Roman" w:hAnsi="Arial" w:cs="Century Gothic"/>
                <w:bCs/>
                <w:sz w:val="20"/>
                <w:szCs w:val="20"/>
              </w:rPr>
              <w:t>cles)</w:t>
            </w:r>
          </w:p>
          <w:p w:rsidR="00BE0F16" w:rsidRDefault="00BC5EED">
            <w:pPr>
              <w:pStyle w:val="Standard"/>
              <w:numPr>
                <w:ilvl w:val="0"/>
                <w:numId w:val="1"/>
              </w:numPr>
              <w:jc w:val="both"/>
            </w:pPr>
            <w:r>
              <w:rPr>
                <w:rFonts w:ascii="Arial" w:eastAsia="Times New Roman" w:hAnsi="Arial" w:cs="Century Gothic"/>
                <w:bCs/>
                <w:sz w:val="20"/>
                <w:szCs w:val="20"/>
              </w:rPr>
              <w:t>Rencontres d'intellectuels fran</w:t>
            </w:r>
            <w:r>
              <w:rPr>
                <w:rFonts w:ascii="Arial" w:eastAsia="Times New Roman" w:hAnsi="Arial" w:cs="Segoe UI"/>
                <w:bCs/>
                <w:sz w:val="20"/>
                <w:szCs w:val="20"/>
              </w:rPr>
              <w:t>ç</w:t>
            </w:r>
            <w:r>
              <w:rPr>
                <w:rFonts w:ascii="Arial" w:eastAsia="Times New Roman" w:hAnsi="Arial" w:cs="Century Gothic"/>
                <w:bCs/>
                <w:sz w:val="20"/>
                <w:szCs w:val="20"/>
              </w:rPr>
              <w:t xml:space="preserve">ais et </w:t>
            </w:r>
            <w:r>
              <w:rPr>
                <w:rFonts w:ascii="Arial" w:eastAsia="Times New Roman" w:hAnsi="Arial" w:cs="Century Gothic"/>
                <w:bCs/>
                <w:sz w:val="20"/>
                <w:szCs w:val="20"/>
              </w:rPr>
              <w:t xml:space="preserve">croates </w:t>
            </w:r>
            <w:r>
              <w:rPr>
                <w:rFonts w:ascii="Arial" w:eastAsia="Times New Roman" w:hAnsi="Arial" w:cs="Segoe UI"/>
                <w:bCs/>
                <w:sz w:val="20"/>
                <w:szCs w:val="20"/>
              </w:rPr>
              <w:t>à</w:t>
            </w:r>
            <w:r>
              <w:rPr>
                <w:rFonts w:ascii="Arial" w:eastAsia="Times New Roman" w:hAnsi="Arial" w:cs="Century Gothic"/>
                <w:bCs/>
                <w:sz w:val="20"/>
                <w:szCs w:val="20"/>
              </w:rPr>
              <w:t xml:space="preserve"> l</w:t>
            </w:r>
            <w:r>
              <w:rPr>
                <w:rFonts w:ascii="Arial" w:eastAsia="Times New Roman" w:hAnsi="Arial" w:cs="Segoe UI"/>
                <w:bCs/>
                <w:sz w:val="20"/>
                <w:szCs w:val="20"/>
              </w:rPr>
              <w:t>ʾ</w:t>
            </w:r>
            <w:r>
              <w:rPr>
                <w:rFonts w:ascii="Arial" w:eastAsia="Times New Roman" w:hAnsi="Arial" w:cs="Century Gothic"/>
                <w:bCs/>
                <w:sz w:val="20"/>
                <w:szCs w:val="20"/>
              </w:rPr>
              <w:t>Universit</w:t>
            </w:r>
            <w:r>
              <w:rPr>
                <w:rFonts w:ascii="Arial" w:eastAsia="Times New Roman" w:hAnsi="Arial" w:cs="Segoe UI"/>
                <w:bCs/>
                <w:sz w:val="20"/>
                <w:szCs w:val="20"/>
              </w:rPr>
              <w:t>é de Paris (</w:t>
            </w:r>
            <w:r>
              <w:rPr>
                <w:rFonts w:ascii="Arial" w:eastAsia="Times New Roman" w:hAnsi="Arial" w:cs="Century Gothic"/>
                <w:bCs/>
                <w:sz w:val="20"/>
                <w:szCs w:val="20"/>
              </w:rPr>
              <w:t>Herman le Dalmate et le bienheureux Augustin Kažotić</w:t>
            </w:r>
            <w:r>
              <w:rPr>
                <w:rFonts w:ascii="Arial" w:eastAsia="Times New Roman" w:hAnsi="Arial" w:cs="Segoe UI"/>
                <w:bCs/>
                <w:sz w:val="20"/>
                <w:szCs w:val="20"/>
              </w:rPr>
              <w:t>)</w:t>
            </w:r>
          </w:p>
          <w:p w:rsidR="00BE0F16" w:rsidRDefault="00BC5EED">
            <w:pPr>
              <w:pStyle w:val="Standard"/>
              <w:numPr>
                <w:ilvl w:val="0"/>
                <w:numId w:val="1"/>
              </w:numPr>
              <w:jc w:val="both"/>
            </w:pPr>
            <w:r>
              <w:rPr>
                <w:rFonts w:ascii="Arial" w:eastAsia="Times New Roman" w:hAnsi="Arial" w:cs="Segoe UI"/>
                <w:bCs/>
                <w:sz w:val="20"/>
                <w:szCs w:val="20"/>
              </w:rPr>
              <w:t>Georges d</w:t>
            </w:r>
            <w:r>
              <w:rPr>
                <w:rFonts w:ascii="Arial" w:eastAsia="Times New Roman" w:hAnsi="Arial" w:cs="Century Gothic"/>
                <w:bCs/>
                <w:sz w:val="20"/>
                <w:szCs w:val="20"/>
              </w:rPr>
              <w:t>'Esclavonie, Ivan Stojković Dubrovčanin (Jean de Raguse), Michel de Raguse, Petar Gučetić, Marijan Bondenalić, Juraj Dragišić (Georgius Benignus de Salviatis) e</w:t>
            </w:r>
            <w:r>
              <w:rPr>
                <w:rFonts w:ascii="Arial" w:eastAsia="Times New Roman" w:hAnsi="Arial" w:cs="Century Gothic"/>
                <w:bCs/>
                <w:sz w:val="20"/>
                <w:szCs w:val="20"/>
              </w:rPr>
              <w:t xml:space="preserve">t Ljudevit Crijević Tubero </w:t>
            </w:r>
            <w:r>
              <w:rPr>
                <w:rFonts w:ascii="Arial" w:eastAsia="Times New Roman" w:hAnsi="Arial" w:cs="Segoe UI"/>
                <w:bCs/>
                <w:sz w:val="20"/>
                <w:szCs w:val="20"/>
              </w:rPr>
              <w:t>à</w:t>
            </w:r>
            <w:r>
              <w:rPr>
                <w:rFonts w:ascii="Arial" w:eastAsia="Times New Roman" w:hAnsi="Arial" w:cs="Century Gothic"/>
                <w:bCs/>
                <w:sz w:val="20"/>
                <w:szCs w:val="20"/>
              </w:rPr>
              <w:t xml:space="preserve"> l</w:t>
            </w:r>
            <w:r>
              <w:rPr>
                <w:rFonts w:ascii="Arial" w:eastAsia="Times New Roman" w:hAnsi="Arial" w:cs="Segoe UI"/>
                <w:bCs/>
                <w:sz w:val="20"/>
                <w:szCs w:val="20"/>
              </w:rPr>
              <w:t>ʾ</w:t>
            </w:r>
            <w:r>
              <w:rPr>
                <w:rFonts w:ascii="Arial" w:eastAsia="Times New Roman" w:hAnsi="Arial" w:cs="Century Gothic"/>
                <w:bCs/>
                <w:sz w:val="20"/>
                <w:szCs w:val="20"/>
              </w:rPr>
              <w:t>Universit</w:t>
            </w:r>
            <w:r>
              <w:rPr>
                <w:rFonts w:ascii="Arial" w:eastAsia="Times New Roman" w:hAnsi="Arial" w:cs="Segoe UI"/>
                <w:bCs/>
                <w:sz w:val="20"/>
                <w:szCs w:val="20"/>
              </w:rPr>
              <w:t>é de Paris</w:t>
            </w:r>
          </w:p>
          <w:p w:rsidR="00BE0F16" w:rsidRDefault="00BC5EED">
            <w:pPr>
              <w:pStyle w:val="Standard"/>
              <w:numPr>
                <w:ilvl w:val="0"/>
                <w:numId w:val="1"/>
              </w:numPr>
              <w:jc w:val="both"/>
            </w:pPr>
            <w:r>
              <w:rPr>
                <w:rFonts w:ascii="Arial" w:eastAsia="Times New Roman" w:hAnsi="Arial" w:cs="Segoe UI"/>
                <w:bCs/>
                <w:sz w:val="20"/>
                <w:szCs w:val="20"/>
              </w:rPr>
              <w:t xml:space="preserve">Marko Marulić et les milieux intellectuels </w:t>
            </w:r>
            <w:r>
              <w:rPr>
                <w:rFonts w:ascii="Arial" w:eastAsia="Times New Roman" w:hAnsi="Arial" w:cs="Century Gothic"/>
                <w:bCs/>
                <w:sz w:val="20"/>
                <w:szCs w:val="20"/>
              </w:rPr>
              <w:t>fran</w:t>
            </w:r>
            <w:r>
              <w:rPr>
                <w:rFonts w:ascii="Arial" w:eastAsia="Times New Roman" w:hAnsi="Arial" w:cs="Segoe UI"/>
                <w:bCs/>
                <w:sz w:val="20"/>
                <w:szCs w:val="20"/>
              </w:rPr>
              <w:t>ç</w:t>
            </w:r>
            <w:r>
              <w:rPr>
                <w:rFonts w:ascii="Arial" w:eastAsia="Times New Roman" w:hAnsi="Arial" w:cs="Century Gothic"/>
                <w:bCs/>
                <w:sz w:val="20"/>
                <w:szCs w:val="20"/>
              </w:rPr>
              <w:t>ais aux XVIe et XVIIe si</w:t>
            </w:r>
            <w:r>
              <w:rPr>
                <w:rFonts w:ascii="Arial" w:eastAsia="Times New Roman" w:hAnsi="Arial" w:cs="Segoe UI"/>
                <w:bCs/>
                <w:sz w:val="20"/>
                <w:szCs w:val="20"/>
              </w:rPr>
              <w:t>è</w:t>
            </w:r>
            <w:r>
              <w:rPr>
                <w:rFonts w:ascii="Arial" w:eastAsia="Times New Roman" w:hAnsi="Arial" w:cs="Century Gothic"/>
                <w:bCs/>
                <w:sz w:val="20"/>
                <w:szCs w:val="20"/>
              </w:rPr>
              <w:t>cles</w:t>
            </w:r>
          </w:p>
          <w:p w:rsidR="00BE0F16" w:rsidRDefault="00BC5EED">
            <w:pPr>
              <w:pStyle w:val="Standard"/>
              <w:numPr>
                <w:ilvl w:val="0"/>
                <w:numId w:val="1"/>
              </w:numPr>
              <w:jc w:val="both"/>
            </w:pPr>
            <w:r>
              <w:rPr>
                <w:rFonts w:ascii="Arial" w:eastAsia="Times New Roman" w:hAnsi="Arial" w:cs="Century Gothic"/>
                <w:bCs/>
                <w:sz w:val="20"/>
                <w:szCs w:val="20"/>
              </w:rPr>
              <w:t xml:space="preserve">Dubrovnik et la France (Ruđer Bošković </w:t>
            </w:r>
            <w:r>
              <w:rPr>
                <w:rFonts w:ascii="Arial" w:eastAsia="Times New Roman" w:hAnsi="Arial" w:cs="Segoe UI"/>
                <w:bCs/>
                <w:sz w:val="20"/>
                <w:szCs w:val="20"/>
              </w:rPr>
              <w:t>à</w:t>
            </w:r>
            <w:r>
              <w:rPr>
                <w:rFonts w:ascii="Arial" w:eastAsia="Times New Roman" w:hAnsi="Arial" w:cs="Century Gothic"/>
                <w:bCs/>
                <w:sz w:val="20"/>
                <w:szCs w:val="20"/>
              </w:rPr>
              <w:t xml:space="preserve"> Paris; Moli</w:t>
            </w:r>
            <w:r>
              <w:rPr>
                <w:rFonts w:ascii="Arial" w:eastAsia="Times New Roman" w:hAnsi="Arial" w:cs="Segoe UI"/>
                <w:bCs/>
                <w:sz w:val="20"/>
                <w:szCs w:val="20"/>
              </w:rPr>
              <w:t>è</w:t>
            </w:r>
            <w:r>
              <w:rPr>
                <w:rFonts w:ascii="Arial" w:eastAsia="Times New Roman" w:hAnsi="Arial" w:cs="Century Gothic"/>
                <w:bCs/>
                <w:sz w:val="20"/>
                <w:szCs w:val="20"/>
              </w:rPr>
              <w:t>re et les "moli</w:t>
            </w:r>
            <w:r>
              <w:rPr>
                <w:rFonts w:ascii="Arial" w:eastAsia="Times New Roman" w:hAnsi="Arial" w:cs="Segoe UI"/>
                <w:bCs/>
                <w:sz w:val="20"/>
                <w:szCs w:val="20"/>
              </w:rPr>
              <w:t>é</w:t>
            </w:r>
            <w:r>
              <w:rPr>
                <w:rFonts w:ascii="Arial" w:eastAsia="Times New Roman" w:hAnsi="Arial" w:cs="Century Gothic"/>
                <w:bCs/>
                <w:sz w:val="20"/>
                <w:szCs w:val="20"/>
              </w:rPr>
              <w:t xml:space="preserve">rades" </w:t>
            </w:r>
            <w:r>
              <w:rPr>
                <w:rFonts w:ascii="Arial" w:eastAsia="Times New Roman" w:hAnsi="Arial" w:cs="Segoe UI"/>
                <w:bCs/>
                <w:sz w:val="20"/>
                <w:szCs w:val="20"/>
              </w:rPr>
              <w:t>à</w:t>
            </w:r>
            <w:r>
              <w:rPr>
                <w:rFonts w:ascii="Arial" w:eastAsia="Times New Roman" w:hAnsi="Arial" w:cs="Century Gothic"/>
                <w:bCs/>
                <w:sz w:val="20"/>
                <w:szCs w:val="20"/>
              </w:rPr>
              <w:t xml:space="preserve"> Raguse)</w:t>
            </w:r>
          </w:p>
          <w:p w:rsidR="00BE0F16" w:rsidRDefault="00BC5EED">
            <w:pPr>
              <w:pStyle w:val="Standard"/>
              <w:numPr>
                <w:ilvl w:val="0"/>
                <w:numId w:val="1"/>
              </w:numPr>
              <w:jc w:val="both"/>
            </w:pPr>
            <w:r>
              <w:rPr>
                <w:rFonts w:ascii="Arial" w:eastAsia="Times New Roman" w:hAnsi="Arial" w:cs="Century Gothic"/>
                <w:bCs/>
                <w:sz w:val="20"/>
                <w:szCs w:val="20"/>
              </w:rPr>
              <w:t>Relations et influences entre la France e</w:t>
            </w:r>
            <w:r>
              <w:rPr>
                <w:rFonts w:ascii="Arial" w:eastAsia="Times New Roman" w:hAnsi="Arial" w:cs="Century Gothic"/>
                <w:bCs/>
                <w:sz w:val="20"/>
                <w:szCs w:val="20"/>
              </w:rPr>
              <w:t xml:space="preserve">t la Croatie de Louis XIII </w:t>
            </w:r>
            <w:r>
              <w:rPr>
                <w:rFonts w:ascii="Arial" w:eastAsia="Times New Roman" w:hAnsi="Arial" w:cs="Segoe UI"/>
                <w:bCs/>
                <w:sz w:val="20"/>
                <w:szCs w:val="20"/>
              </w:rPr>
              <w:t>à</w:t>
            </w:r>
            <w:r>
              <w:rPr>
                <w:rFonts w:ascii="Arial" w:eastAsia="Times New Roman" w:hAnsi="Arial" w:cs="Century Gothic"/>
                <w:bCs/>
                <w:sz w:val="20"/>
                <w:szCs w:val="20"/>
              </w:rPr>
              <w:t xml:space="preserve"> Napol</w:t>
            </w:r>
            <w:r>
              <w:rPr>
                <w:rFonts w:ascii="Arial" w:eastAsia="Times New Roman" w:hAnsi="Arial" w:cs="Segoe UI"/>
                <w:bCs/>
                <w:sz w:val="20"/>
                <w:szCs w:val="20"/>
              </w:rPr>
              <w:t>é</w:t>
            </w:r>
            <w:r>
              <w:rPr>
                <w:rFonts w:ascii="Arial" w:eastAsia="Times New Roman" w:hAnsi="Arial" w:cs="Century Gothic"/>
                <w:bCs/>
                <w:sz w:val="20"/>
                <w:szCs w:val="20"/>
              </w:rPr>
              <w:t>on (La cravate croate et la cocarde du "Royal-cravate"; Les Zrinski: La Couronne de Croatie pour Louis XIV; La grande guerre de lib</w:t>
            </w:r>
            <w:r>
              <w:rPr>
                <w:rFonts w:ascii="Arial" w:eastAsia="Times New Roman" w:hAnsi="Arial" w:cs="Segoe UI"/>
                <w:bCs/>
                <w:sz w:val="20"/>
                <w:szCs w:val="20"/>
              </w:rPr>
              <w:t>é</w:t>
            </w:r>
            <w:r>
              <w:rPr>
                <w:rFonts w:ascii="Arial" w:eastAsia="Times New Roman" w:hAnsi="Arial" w:cs="Century Gothic"/>
                <w:bCs/>
                <w:sz w:val="20"/>
                <w:szCs w:val="20"/>
              </w:rPr>
              <w:t xml:space="preserve">ration (1683-1699) et Louis XIV; Les </w:t>
            </w:r>
            <w:r>
              <w:rPr>
                <w:rFonts w:ascii="Arial" w:eastAsia="Times New Roman" w:hAnsi="Arial" w:cs="Segoe UI"/>
                <w:bCs/>
                <w:sz w:val="20"/>
                <w:szCs w:val="20"/>
              </w:rPr>
              <w:t>É</w:t>
            </w:r>
            <w:r>
              <w:rPr>
                <w:rFonts w:ascii="Arial" w:eastAsia="Times New Roman" w:hAnsi="Arial" w:cs="Century Gothic"/>
                <w:bCs/>
                <w:sz w:val="20"/>
                <w:szCs w:val="20"/>
              </w:rPr>
              <w:t>chos de la R</w:t>
            </w:r>
            <w:r>
              <w:rPr>
                <w:rFonts w:ascii="Arial" w:eastAsia="Times New Roman" w:hAnsi="Arial" w:cs="Segoe UI"/>
                <w:bCs/>
                <w:sz w:val="20"/>
                <w:szCs w:val="20"/>
              </w:rPr>
              <w:t>é</w:t>
            </w:r>
            <w:r>
              <w:rPr>
                <w:rFonts w:ascii="Arial" w:eastAsia="Times New Roman" w:hAnsi="Arial" w:cs="Century Gothic"/>
                <w:bCs/>
                <w:sz w:val="20"/>
                <w:szCs w:val="20"/>
              </w:rPr>
              <w:t>volution fran</w:t>
            </w:r>
            <w:r>
              <w:rPr>
                <w:rFonts w:ascii="Arial" w:eastAsia="Times New Roman" w:hAnsi="Arial" w:cs="Segoe UI"/>
                <w:bCs/>
                <w:sz w:val="20"/>
                <w:szCs w:val="20"/>
              </w:rPr>
              <w:t>ç</w:t>
            </w:r>
            <w:r>
              <w:rPr>
                <w:rFonts w:ascii="Arial" w:eastAsia="Times New Roman" w:hAnsi="Arial" w:cs="Century Gothic"/>
                <w:bCs/>
                <w:sz w:val="20"/>
                <w:szCs w:val="20"/>
              </w:rPr>
              <w:t>aise en Croatie)</w:t>
            </w:r>
          </w:p>
          <w:p w:rsidR="00BE0F16" w:rsidRDefault="00BC5EED">
            <w:pPr>
              <w:pStyle w:val="Standard"/>
              <w:numPr>
                <w:ilvl w:val="0"/>
                <w:numId w:val="1"/>
              </w:numPr>
              <w:jc w:val="both"/>
            </w:pPr>
            <w:r>
              <w:rPr>
                <w:rFonts w:ascii="Arial" w:eastAsia="Times New Roman" w:hAnsi="Arial" w:cs="Century Gothic"/>
                <w:bCs/>
                <w:sz w:val="20"/>
                <w:szCs w:val="20"/>
              </w:rPr>
              <w:t>La Croa</w:t>
            </w:r>
            <w:r>
              <w:rPr>
                <w:rFonts w:ascii="Arial" w:eastAsia="Times New Roman" w:hAnsi="Arial" w:cs="Century Gothic"/>
                <w:bCs/>
                <w:sz w:val="20"/>
                <w:szCs w:val="20"/>
              </w:rPr>
              <w:t>tie et les Provinces illyriennes de Napol</w:t>
            </w:r>
            <w:r>
              <w:rPr>
                <w:rFonts w:ascii="Arial" w:eastAsia="Times New Roman" w:hAnsi="Arial" w:cs="Segoe UI"/>
                <w:bCs/>
                <w:sz w:val="20"/>
                <w:szCs w:val="20"/>
              </w:rPr>
              <w:t>é</w:t>
            </w:r>
            <w:r>
              <w:rPr>
                <w:rFonts w:ascii="Arial" w:eastAsia="Times New Roman" w:hAnsi="Arial" w:cs="Century Gothic"/>
                <w:bCs/>
                <w:sz w:val="20"/>
                <w:szCs w:val="20"/>
              </w:rPr>
              <w:t>on (Ante Starčević et la r</w:t>
            </w:r>
            <w:r>
              <w:rPr>
                <w:rFonts w:ascii="Arial" w:eastAsia="Times New Roman" w:hAnsi="Arial" w:cs="Segoe UI"/>
                <w:bCs/>
                <w:sz w:val="20"/>
                <w:szCs w:val="20"/>
              </w:rPr>
              <w:t>é</w:t>
            </w:r>
            <w:r>
              <w:rPr>
                <w:rFonts w:ascii="Arial" w:eastAsia="Times New Roman" w:hAnsi="Arial" w:cs="Century Gothic"/>
                <w:bCs/>
                <w:sz w:val="20"/>
                <w:szCs w:val="20"/>
              </w:rPr>
              <w:t>volution fran</w:t>
            </w:r>
            <w:r>
              <w:rPr>
                <w:rFonts w:ascii="Arial" w:eastAsia="Times New Roman" w:hAnsi="Arial" w:cs="Segoe UI"/>
                <w:bCs/>
                <w:sz w:val="20"/>
                <w:szCs w:val="20"/>
              </w:rPr>
              <w:t>ç</w:t>
            </w:r>
            <w:r>
              <w:rPr>
                <w:rFonts w:ascii="Arial" w:eastAsia="Times New Roman" w:hAnsi="Arial" w:cs="Century Gothic"/>
                <w:bCs/>
                <w:sz w:val="20"/>
                <w:szCs w:val="20"/>
              </w:rPr>
              <w:t>aise; L</w:t>
            </w:r>
            <w:r>
              <w:rPr>
                <w:rFonts w:ascii="Arial" w:eastAsia="Times New Roman" w:hAnsi="Arial" w:cs="Segoe UI"/>
                <w:bCs/>
                <w:sz w:val="20"/>
                <w:szCs w:val="20"/>
              </w:rPr>
              <w:t xml:space="preserve">ʾinfluence </w:t>
            </w:r>
            <w:r>
              <w:rPr>
                <w:rFonts w:ascii="Arial" w:eastAsia="Times New Roman" w:hAnsi="Arial" w:cs="Century Gothic"/>
                <w:bCs/>
                <w:sz w:val="20"/>
                <w:szCs w:val="20"/>
              </w:rPr>
              <w:t>fran</w:t>
            </w:r>
            <w:r>
              <w:rPr>
                <w:rFonts w:ascii="Arial" w:eastAsia="Times New Roman" w:hAnsi="Arial" w:cs="Segoe UI"/>
                <w:bCs/>
                <w:sz w:val="20"/>
                <w:szCs w:val="20"/>
              </w:rPr>
              <w:t>ç</w:t>
            </w:r>
            <w:r>
              <w:rPr>
                <w:rFonts w:ascii="Arial" w:eastAsia="Times New Roman" w:hAnsi="Arial" w:cs="Century Gothic"/>
                <w:bCs/>
                <w:sz w:val="20"/>
                <w:szCs w:val="20"/>
              </w:rPr>
              <w:t>aise en Croatie 1815-1848)</w:t>
            </w:r>
          </w:p>
          <w:p w:rsidR="00BE0F16" w:rsidRDefault="00BC5EED">
            <w:pPr>
              <w:pStyle w:val="Standard"/>
              <w:numPr>
                <w:ilvl w:val="0"/>
                <w:numId w:val="1"/>
              </w:numPr>
              <w:jc w:val="both"/>
            </w:pPr>
            <w:r>
              <w:rPr>
                <w:rFonts w:ascii="Arial" w:eastAsia="Times New Roman" w:hAnsi="Arial" w:cs="Century Gothic"/>
                <w:bCs/>
                <w:sz w:val="20"/>
                <w:szCs w:val="20"/>
              </w:rPr>
              <w:t>L</w:t>
            </w:r>
            <w:r>
              <w:rPr>
                <w:rFonts w:ascii="Arial" w:eastAsia="Times New Roman" w:hAnsi="Arial" w:cs="Segoe UI"/>
                <w:bCs/>
                <w:sz w:val="20"/>
                <w:szCs w:val="20"/>
              </w:rPr>
              <w:t xml:space="preserve">ʾinfluence littéraire  </w:t>
            </w:r>
            <w:r>
              <w:rPr>
                <w:rFonts w:ascii="Arial" w:eastAsia="Times New Roman" w:hAnsi="Arial" w:cs="Century Gothic"/>
                <w:bCs/>
                <w:sz w:val="20"/>
                <w:szCs w:val="20"/>
              </w:rPr>
              <w:t>fran</w:t>
            </w:r>
            <w:r>
              <w:rPr>
                <w:rFonts w:ascii="Arial" w:eastAsia="Times New Roman" w:hAnsi="Arial" w:cs="Segoe UI"/>
                <w:bCs/>
                <w:sz w:val="20"/>
                <w:szCs w:val="20"/>
              </w:rPr>
              <w:t>ç</w:t>
            </w:r>
            <w:r>
              <w:rPr>
                <w:rFonts w:ascii="Arial" w:eastAsia="Times New Roman" w:hAnsi="Arial" w:cs="Century Gothic"/>
                <w:bCs/>
                <w:sz w:val="20"/>
                <w:szCs w:val="20"/>
              </w:rPr>
              <w:t xml:space="preserve">aise en Croatie de 1860 </w:t>
            </w:r>
            <w:r>
              <w:rPr>
                <w:rFonts w:ascii="Arial" w:eastAsia="Times New Roman" w:hAnsi="Arial" w:cs="Segoe UI"/>
                <w:bCs/>
                <w:sz w:val="20"/>
                <w:szCs w:val="20"/>
              </w:rPr>
              <w:t>à</w:t>
            </w:r>
            <w:r>
              <w:rPr>
                <w:rFonts w:ascii="Arial" w:eastAsia="Times New Roman" w:hAnsi="Arial" w:cs="Century Gothic"/>
                <w:bCs/>
                <w:sz w:val="20"/>
                <w:szCs w:val="20"/>
              </w:rPr>
              <w:t xml:space="preserve"> 1914 (August Šenoa et l</w:t>
            </w:r>
            <w:r>
              <w:rPr>
                <w:rFonts w:ascii="Arial" w:eastAsia="Times New Roman" w:hAnsi="Arial" w:cs="Segoe UI"/>
                <w:bCs/>
                <w:sz w:val="20"/>
                <w:szCs w:val="20"/>
              </w:rPr>
              <w:t xml:space="preserve">ʾorientation </w:t>
            </w:r>
            <w:r>
              <w:rPr>
                <w:rFonts w:ascii="Arial" w:eastAsia="Times New Roman" w:hAnsi="Arial" w:cs="Century Gothic"/>
                <w:bCs/>
                <w:sz w:val="20"/>
                <w:szCs w:val="20"/>
              </w:rPr>
              <w:t>fran</w:t>
            </w:r>
            <w:r>
              <w:rPr>
                <w:rFonts w:ascii="Arial" w:eastAsia="Times New Roman" w:hAnsi="Arial" w:cs="Segoe UI"/>
                <w:bCs/>
                <w:sz w:val="20"/>
                <w:szCs w:val="20"/>
              </w:rPr>
              <w:t>ç</w:t>
            </w:r>
            <w:r>
              <w:rPr>
                <w:rFonts w:ascii="Arial" w:eastAsia="Times New Roman" w:hAnsi="Arial" w:cs="Century Gothic"/>
                <w:bCs/>
                <w:sz w:val="20"/>
                <w:szCs w:val="20"/>
              </w:rPr>
              <w:t>aise dans les lettres croat</w:t>
            </w:r>
            <w:r>
              <w:rPr>
                <w:rFonts w:ascii="Arial" w:eastAsia="Times New Roman" w:hAnsi="Arial" w:cs="Century Gothic"/>
                <w:bCs/>
                <w:sz w:val="20"/>
                <w:szCs w:val="20"/>
              </w:rPr>
              <w:t>es; La litt</w:t>
            </w:r>
            <w:r>
              <w:rPr>
                <w:rFonts w:ascii="Arial" w:eastAsia="Times New Roman" w:hAnsi="Arial" w:cs="Segoe UI"/>
                <w:bCs/>
                <w:sz w:val="20"/>
                <w:szCs w:val="20"/>
              </w:rPr>
              <w:t>é</w:t>
            </w:r>
            <w:r>
              <w:rPr>
                <w:rFonts w:ascii="Arial" w:eastAsia="Times New Roman" w:hAnsi="Arial" w:cs="Century Gothic"/>
                <w:bCs/>
                <w:sz w:val="20"/>
                <w:szCs w:val="20"/>
              </w:rPr>
              <w:t>rature fran</w:t>
            </w:r>
            <w:r>
              <w:rPr>
                <w:rFonts w:ascii="Arial" w:eastAsia="Times New Roman" w:hAnsi="Arial" w:cs="Segoe UI"/>
                <w:bCs/>
                <w:sz w:val="20"/>
                <w:szCs w:val="20"/>
              </w:rPr>
              <w:t>ç</w:t>
            </w:r>
            <w:r>
              <w:rPr>
                <w:rFonts w:ascii="Arial" w:eastAsia="Times New Roman" w:hAnsi="Arial" w:cs="Century Gothic"/>
                <w:bCs/>
                <w:sz w:val="20"/>
                <w:szCs w:val="20"/>
              </w:rPr>
              <w:t>aise dans la revue "Vijenac"</w:t>
            </w:r>
            <w:r>
              <w:rPr>
                <w:rFonts w:ascii="Arial" w:eastAsia="Times New Roman" w:hAnsi="Arial" w:cs="Segoe UI"/>
                <w:bCs/>
                <w:sz w:val="20"/>
                <w:szCs w:val="20"/>
              </w:rPr>
              <w:t xml:space="preserve"> </w:t>
            </w:r>
            <w:r>
              <w:rPr>
                <w:rFonts w:ascii="Arial" w:eastAsia="Times New Roman" w:hAnsi="Arial" w:cs="Century Gothic"/>
                <w:bCs/>
                <w:sz w:val="20"/>
                <w:szCs w:val="20"/>
              </w:rPr>
              <w:t>)</w:t>
            </w:r>
          </w:p>
          <w:p w:rsidR="00BE0F16" w:rsidRDefault="00BC5EED">
            <w:pPr>
              <w:pStyle w:val="Standard"/>
              <w:numPr>
                <w:ilvl w:val="0"/>
                <w:numId w:val="1"/>
              </w:numPr>
              <w:jc w:val="both"/>
            </w:pPr>
            <w:r>
              <w:rPr>
                <w:rFonts w:ascii="Arial" w:eastAsia="Times New Roman" w:hAnsi="Arial" w:cs="Century Gothic"/>
                <w:bCs/>
                <w:sz w:val="20"/>
                <w:szCs w:val="20"/>
              </w:rPr>
              <w:t>L</w:t>
            </w:r>
            <w:r>
              <w:rPr>
                <w:rFonts w:ascii="Arial" w:eastAsia="Times New Roman" w:hAnsi="Arial" w:cs="Segoe UI"/>
                <w:bCs/>
                <w:sz w:val="20"/>
                <w:szCs w:val="20"/>
              </w:rPr>
              <w:t xml:space="preserve">ʾimportance et le rôle du théâtre dans les rapports entre les littératures et les cultures </w:t>
            </w:r>
            <w:r>
              <w:rPr>
                <w:rFonts w:ascii="Arial" w:eastAsia="Times New Roman" w:hAnsi="Arial" w:cs="Century Gothic"/>
                <w:bCs/>
                <w:sz w:val="20"/>
                <w:szCs w:val="20"/>
              </w:rPr>
              <w:t>fran</w:t>
            </w:r>
            <w:r>
              <w:rPr>
                <w:rFonts w:ascii="Arial" w:eastAsia="Times New Roman" w:hAnsi="Arial" w:cs="Segoe UI"/>
                <w:bCs/>
                <w:sz w:val="20"/>
                <w:szCs w:val="20"/>
              </w:rPr>
              <w:t>ç</w:t>
            </w:r>
            <w:r>
              <w:rPr>
                <w:rFonts w:ascii="Arial" w:eastAsia="Times New Roman" w:hAnsi="Arial" w:cs="Century Gothic"/>
                <w:bCs/>
                <w:sz w:val="20"/>
                <w:szCs w:val="20"/>
              </w:rPr>
              <w:t xml:space="preserve">aises et croates (Le </w:t>
            </w:r>
            <w:r>
              <w:rPr>
                <w:rFonts w:ascii="Arial" w:eastAsia="Times New Roman" w:hAnsi="Arial" w:cs="Segoe UI"/>
                <w:bCs/>
                <w:sz w:val="20"/>
                <w:szCs w:val="20"/>
              </w:rPr>
              <w:t>théâtre français à Zagreb)</w:t>
            </w:r>
          </w:p>
          <w:p w:rsidR="00BE0F16" w:rsidRDefault="00BC5EED">
            <w:pPr>
              <w:pStyle w:val="Standard"/>
              <w:numPr>
                <w:ilvl w:val="0"/>
                <w:numId w:val="1"/>
              </w:numPr>
              <w:jc w:val="both"/>
              <w:rPr>
                <w:rFonts w:ascii="Arial" w:eastAsia="Times New Roman" w:hAnsi="Arial" w:cs="Segoe UI"/>
                <w:bCs/>
                <w:sz w:val="20"/>
                <w:szCs w:val="20"/>
              </w:rPr>
            </w:pPr>
            <w:r>
              <w:rPr>
                <w:rFonts w:ascii="Arial" w:eastAsia="Times New Roman" w:hAnsi="Arial" w:cs="Segoe UI"/>
                <w:bCs/>
                <w:sz w:val="20"/>
                <w:szCs w:val="20"/>
              </w:rPr>
              <w:t xml:space="preserve">Les artistes croates à Paris à la fin du XIX siècle et </w:t>
            </w:r>
            <w:r>
              <w:rPr>
                <w:rFonts w:ascii="Arial" w:eastAsia="Times New Roman" w:hAnsi="Arial" w:cs="Segoe UI"/>
                <w:bCs/>
                <w:sz w:val="20"/>
                <w:szCs w:val="20"/>
              </w:rPr>
              <w:t>au commencement du XXe siècle (Vlaho Bukovac, Josip Račić, Robert Frangeš-Mikanović, Ivan Meštrović, Antun Gustav Matoš etc.)</w:t>
            </w:r>
          </w:p>
          <w:p w:rsidR="00BE0F16" w:rsidRDefault="00BC5EED">
            <w:pPr>
              <w:pStyle w:val="Standard"/>
              <w:numPr>
                <w:ilvl w:val="0"/>
                <w:numId w:val="1"/>
              </w:numPr>
              <w:jc w:val="both"/>
            </w:pPr>
            <w:r>
              <w:rPr>
                <w:rFonts w:ascii="Arial" w:eastAsia="Times New Roman" w:hAnsi="Arial" w:cs="Segoe UI"/>
                <w:bCs/>
                <w:sz w:val="20"/>
                <w:szCs w:val="20"/>
              </w:rPr>
              <w:t>Politique culturelle de la France en Croatie dans la première moitié du XXe siècle (</w:t>
            </w:r>
            <w:r>
              <w:rPr>
                <w:rFonts w:ascii="Arial" w:eastAsia="Times New Roman" w:hAnsi="Arial" w:cs="Century Gothic"/>
                <w:bCs/>
                <w:sz w:val="20"/>
                <w:szCs w:val="20"/>
              </w:rPr>
              <w:t>L</w:t>
            </w:r>
            <w:r>
              <w:rPr>
                <w:rFonts w:ascii="Arial" w:eastAsia="Times New Roman" w:hAnsi="Arial" w:cs="Segoe UI"/>
                <w:bCs/>
                <w:sz w:val="20"/>
                <w:szCs w:val="20"/>
              </w:rPr>
              <w:t xml:space="preserve">ʾInstitut </w:t>
            </w:r>
            <w:r>
              <w:rPr>
                <w:rFonts w:ascii="Arial" w:eastAsia="Times New Roman" w:hAnsi="Arial" w:cs="Century Gothic"/>
                <w:bCs/>
                <w:sz w:val="20"/>
                <w:szCs w:val="20"/>
              </w:rPr>
              <w:t>fran</w:t>
            </w:r>
            <w:r>
              <w:rPr>
                <w:rFonts w:ascii="Arial" w:eastAsia="Times New Roman" w:hAnsi="Arial" w:cs="Segoe UI"/>
                <w:bCs/>
                <w:sz w:val="20"/>
                <w:szCs w:val="20"/>
              </w:rPr>
              <w:t>ç</w:t>
            </w:r>
            <w:r>
              <w:rPr>
                <w:rFonts w:ascii="Arial" w:eastAsia="Times New Roman" w:hAnsi="Arial" w:cs="Century Gothic"/>
                <w:bCs/>
                <w:sz w:val="20"/>
                <w:szCs w:val="20"/>
              </w:rPr>
              <w:t>ais de Zagreb; Raymond Varnier</w:t>
            </w:r>
            <w:r>
              <w:rPr>
                <w:rFonts w:ascii="Arial" w:eastAsia="Times New Roman" w:hAnsi="Arial" w:cs="Century Gothic"/>
                <w:bCs/>
                <w:sz w:val="20"/>
                <w:szCs w:val="20"/>
              </w:rPr>
              <w:t>, Jean Dayre etc.</w:t>
            </w:r>
            <w:r>
              <w:rPr>
                <w:rFonts w:ascii="Arial" w:eastAsia="Times New Roman" w:hAnsi="Arial" w:cs="Segoe UI"/>
                <w:bCs/>
                <w:sz w:val="20"/>
                <w:szCs w:val="20"/>
              </w:rPr>
              <w:t xml:space="preserve"> )</w:t>
            </w:r>
          </w:p>
          <w:p w:rsidR="00BE0F16" w:rsidRDefault="00BC5EED">
            <w:pPr>
              <w:pStyle w:val="Standard"/>
              <w:numPr>
                <w:ilvl w:val="0"/>
                <w:numId w:val="1"/>
              </w:numPr>
              <w:jc w:val="both"/>
            </w:pPr>
            <w:r>
              <w:rPr>
                <w:rFonts w:ascii="Arial" w:eastAsia="Times New Roman" w:hAnsi="Arial" w:cs="Segoe UI"/>
                <w:bCs/>
                <w:sz w:val="20"/>
                <w:szCs w:val="20"/>
              </w:rPr>
              <w:t>Les écrivains, artistes et hommes politiques croates en France dans la première moitié du XXe siècle (Mato Ujević, Ante Ciliga, Miroslav Krleža, Bogdan Radica, Dragutin Tadijanović, Slavko Kopač, Ivan Meštrović, le</w:t>
            </w:r>
            <w:r>
              <w:rPr>
                <w:rFonts w:ascii="Arial" w:eastAsia="Times New Roman" w:hAnsi="Arial" w:cs="Century Gothic"/>
                <w:bCs/>
                <w:sz w:val="20"/>
                <w:szCs w:val="20"/>
              </w:rPr>
              <w:t xml:space="preserve"> bienheureux Ivan Merz</w:t>
            </w:r>
            <w:r>
              <w:rPr>
                <w:rFonts w:ascii="Arial" w:eastAsia="Times New Roman" w:hAnsi="Arial" w:cs="Century Gothic"/>
                <w:bCs/>
                <w:sz w:val="20"/>
                <w:szCs w:val="20"/>
              </w:rPr>
              <w:t>, Stjepan Radić, Svetozar Pribičević etc.</w:t>
            </w:r>
            <w:r>
              <w:rPr>
                <w:rFonts w:ascii="Arial" w:eastAsia="Times New Roman" w:hAnsi="Arial" w:cs="Segoe UI"/>
                <w:bCs/>
                <w:sz w:val="20"/>
                <w:szCs w:val="20"/>
              </w:rPr>
              <w:t>)</w:t>
            </w:r>
          </w:p>
          <w:p w:rsidR="00BE0F16" w:rsidRDefault="00BC5EED">
            <w:pPr>
              <w:pStyle w:val="Standard"/>
              <w:numPr>
                <w:ilvl w:val="0"/>
                <w:numId w:val="1"/>
              </w:numPr>
              <w:spacing w:after="0" w:line="240" w:lineRule="auto"/>
              <w:jc w:val="both"/>
            </w:pPr>
            <w:r>
              <w:rPr>
                <w:rFonts w:ascii="Arial" w:eastAsia="Times New Roman" w:hAnsi="Arial" w:cs="Segoe UI"/>
                <w:bCs/>
                <w:sz w:val="20"/>
                <w:szCs w:val="20"/>
              </w:rPr>
              <w:t xml:space="preserve"> Impact interculturel: la  littérature croate et la  littérature </w:t>
            </w:r>
            <w:r>
              <w:rPr>
                <w:rFonts w:ascii="Arial" w:eastAsia="Times New Roman" w:hAnsi="Arial" w:cs="Century Gothic"/>
                <w:bCs/>
                <w:sz w:val="20"/>
                <w:szCs w:val="20"/>
              </w:rPr>
              <w:t>fran</w:t>
            </w:r>
            <w:r>
              <w:rPr>
                <w:rFonts w:ascii="Arial" w:eastAsia="Times New Roman" w:hAnsi="Arial" w:cs="Segoe UI"/>
                <w:bCs/>
                <w:sz w:val="20"/>
                <w:szCs w:val="20"/>
              </w:rPr>
              <w:t>ç</w:t>
            </w:r>
            <w:r>
              <w:rPr>
                <w:rFonts w:ascii="Arial" w:eastAsia="Times New Roman" w:hAnsi="Arial" w:cs="Century Gothic"/>
                <w:bCs/>
                <w:sz w:val="20"/>
                <w:szCs w:val="20"/>
              </w:rPr>
              <w:t>aise au XXe si</w:t>
            </w:r>
            <w:r>
              <w:rPr>
                <w:rFonts w:ascii="Arial" w:eastAsia="Times New Roman" w:hAnsi="Arial" w:cs="Segoe UI"/>
                <w:bCs/>
                <w:sz w:val="20"/>
                <w:szCs w:val="20"/>
              </w:rPr>
              <w:t>è</w:t>
            </w:r>
            <w:r>
              <w:rPr>
                <w:rFonts w:ascii="Arial" w:eastAsia="Times New Roman" w:hAnsi="Arial" w:cs="Century Gothic"/>
                <w:bCs/>
                <w:sz w:val="20"/>
                <w:szCs w:val="20"/>
              </w:rPr>
              <w:t>cle</w:t>
            </w:r>
          </w:p>
          <w:p w:rsidR="00BE0F16" w:rsidRDefault="00BE0F16">
            <w:pPr>
              <w:pStyle w:val="Standard"/>
              <w:spacing w:after="0" w:line="240" w:lineRule="auto"/>
              <w:jc w:val="both"/>
              <w:rPr>
                <w:rFonts w:ascii="Arial" w:hAnsi="Arial" w:cs="Century Gothic"/>
                <w:bCs/>
                <w:sz w:val="20"/>
                <w:szCs w:val="20"/>
              </w:rPr>
            </w:pPr>
          </w:p>
          <w:p w:rsidR="00BE0F16" w:rsidRDefault="00BE0F16">
            <w:pPr>
              <w:pStyle w:val="Standard"/>
              <w:spacing w:after="0" w:line="240" w:lineRule="auto"/>
              <w:jc w:val="both"/>
              <w:rPr>
                <w:rFonts w:ascii="Arial" w:hAnsi="Arial" w:cs="Century Gothic"/>
                <w:bCs/>
                <w:sz w:val="20"/>
                <w:szCs w:val="20"/>
              </w:rPr>
            </w:pPr>
          </w:p>
          <w:p w:rsidR="00BE0F16" w:rsidRDefault="00BC5EED">
            <w:pPr>
              <w:pStyle w:val="Standard"/>
              <w:numPr>
                <w:ilvl w:val="0"/>
                <w:numId w:val="1"/>
              </w:numPr>
              <w:jc w:val="both"/>
            </w:pPr>
            <w:r>
              <w:rPr>
                <w:rFonts w:ascii="Arial" w:eastAsia="Times New Roman" w:hAnsi="Arial" w:cs="Segoe UI"/>
                <w:bCs/>
                <w:sz w:val="20"/>
                <w:szCs w:val="20"/>
              </w:rPr>
              <w:t>La présence croate à</w:t>
            </w:r>
            <w:r>
              <w:rPr>
                <w:rFonts w:ascii="Arial" w:eastAsia="Times New Roman" w:hAnsi="Arial" w:cs="Century Gothic"/>
                <w:bCs/>
                <w:sz w:val="20"/>
                <w:szCs w:val="20"/>
              </w:rPr>
              <w:t xml:space="preserve"> Paris dans la deuxi</w:t>
            </w:r>
            <w:r>
              <w:rPr>
                <w:rFonts w:ascii="Arial" w:eastAsia="Times New Roman" w:hAnsi="Arial" w:cs="Segoe UI"/>
                <w:bCs/>
                <w:sz w:val="20"/>
                <w:szCs w:val="20"/>
              </w:rPr>
              <w:t>è</w:t>
            </w:r>
            <w:r>
              <w:rPr>
                <w:rFonts w:ascii="Arial" w:eastAsia="Times New Roman" w:hAnsi="Arial" w:cs="Century Gothic"/>
                <w:bCs/>
                <w:sz w:val="20"/>
                <w:szCs w:val="20"/>
              </w:rPr>
              <w:t xml:space="preserve">me </w:t>
            </w:r>
            <w:r>
              <w:rPr>
                <w:rFonts w:ascii="Arial" w:eastAsia="Times New Roman" w:hAnsi="Arial" w:cs="Segoe UI"/>
                <w:bCs/>
                <w:sz w:val="20"/>
                <w:szCs w:val="20"/>
              </w:rPr>
              <w:t>moitié du XXe siècle</w:t>
            </w:r>
          </w:p>
          <w:p w:rsidR="00BE0F16" w:rsidRDefault="00BC5EED">
            <w:pPr>
              <w:pStyle w:val="Standard"/>
              <w:numPr>
                <w:ilvl w:val="0"/>
                <w:numId w:val="1"/>
              </w:numPr>
              <w:spacing w:after="0" w:line="240" w:lineRule="auto"/>
              <w:jc w:val="both"/>
              <w:rPr>
                <w:rFonts w:ascii="Arial" w:eastAsia="Times New Roman" w:hAnsi="Arial" w:cs="Century Gothic"/>
                <w:bCs/>
                <w:sz w:val="20"/>
                <w:szCs w:val="20"/>
              </w:rPr>
            </w:pPr>
            <w:r>
              <w:rPr>
                <w:rFonts w:ascii="Arial" w:eastAsia="Times New Roman" w:hAnsi="Arial" w:cs="Century Gothic"/>
                <w:bCs/>
                <w:sz w:val="20"/>
                <w:szCs w:val="20"/>
              </w:rPr>
              <w:lastRenderedPageBreak/>
              <w:t>La France et lʾindépendance de la Croatie</w:t>
            </w:r>
          </w:p>
        </w:tc>
        <w:tc>
          <w:tcPr>
            <w:tcW w:w="122" w:type="dxa"/>
            <w:shd w:val="clear" w:color="auto" w:fill="auto"/>
            <w:tcMar>
              <w:top w:w="0" w:type="dxa"/>
              <w:left w:w="10" w:type="dxa"/>
              <w:bottom w:w="0" w:type="dxa"/>
              <w:right w:w="10" w:type="dxa"/>
            </w:tcMar>
          </w:tcPr>
          <w:p w:rsidR="00BE0F16" w:rsidRDefault="00BE0F16">
            <w:pPr>
              <w:pStyle w:val="Standard"/>
            </w:pPr>
          </w:p>
        </w:tc>
      </w:tr>
      <w:tr w:rsidR="00BE0F16">
        <w:tblPrEx>
          <w:tblCellMar>
            <w:top w:w="0" w:type="dxa"/>
            <w:bottom w:w="0" w:type="dxa"/>
          </w:tblCellMar>
        </w:tblPrEx>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C5EED">
            <w:pPr>
              <w:pStyle w:val="Standard"/>
              <w:spacing w:after="0" w:line="240" w:lineRule="auto"/>
            </w:pPr>
            <w:r>
              <w:lastRenderedPageBreak/>
              <w:t xml:space="preserve">Learning </w:t>
            </w:r>
            <w:r>
              <w:t>outcomes of the course</w:t>
            </w:r>
          </w:p>
        </w:tc>
        <w:tc>
          <w:tcPr>
            <w:tcW w:w="78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0F16" w:rsidRDefault="00BE0F16">
            <w:pPr>
              <w:pStyle w:val="Standard"/>
              <w:spacing w:after="0" w:line="240" w:lineRule="auto"/>
              <w:jc w:val="both"/>
              <w:rPr>
                <w:rFonts w:ascii="Century Gothic" w:eastAsia="Times New Roman" w:hAnsi="Century Gothic" w:cs="Century Gothic"/>
                <w:bCs/>
                <w:sz w:val="20"/>
                <w:szCs w:val="20"/>
              </w:rPr>
            </w:pPr>
          </w:p>
          <w:p w:rsidR="00BE0F16" w:rsidRDefault="00BE0F16">
            <w:pPr>
              <w:pStyle w:val="Standard"/>
              <w:spacing w:after="0" w:line="240" w:lineRule="auto"/>
              <w:jc w:val="both"/>
              <w:rPr>
                <w:rFonts w:ascii="Century Gothic" w:hAnsi="Century Gothic" w:cs="Century Gothic"/>
                <w:bCs/>
                <w:sz w:val="20"/>
                <w:szCs w:val="20"/>
              </w:rPr>
            </w:pPr>
          </w:p>
          <w:p w:rsidR="00BE0F16" w:rsidRDefault="00BC5EED">
            <w:pPr>
              <w:pStyle w:val="Standard"/>
              <w:spacing w:before="120" w:after="120" w:line="240" w:lineRule="auto"/>
              <w:jc w:val="both"/>
              <w:rPr>
                <w:rFonts w:ascii="Arial" w:hAnsi="Arial" w:cs="Century Gothic"/>
                <w:bCs/>
                <w:sz w:val="20"/>
                <w:szCs w:val="20"/>
                <w:shd w:val="clear" w:color="auto" w:fill="FFFFFF"/>
                <w:lang w:val="fr-FR"/>
              </w:rPr>
            </w:pPr>
            <w:r>
              <w:rPr>
                <w:rFonts w:ascii="Arial" w:hAnsi="Arial" w:cs="Century Gothic"/>
                <w:bCs/>
                <w:sz w:val="20"/>
                <w:szCs w:val="20"/>
                <w:shd w:val="clear" w:color="auto" w:fill="FFFFFF"/>
                <w:lang w:val="fr-FR"/>
              </w:rPr>
              <w:t>La connaissance approfondie des relations franco-croates, la problématisation des spécificités et des complexités des rapports entre la France et la Croatie, ainsi qu’une réflexion critique sur ces sujets.</w:t>
            </w:r>
          </w:p>
          <w:p w:rsidR="00BE0F16" w:rsidRDefault="00BE0F16">
            <w:pPr>
              <w:pStyle w:val="Standard"/>
              <w:spacing w:after="0" w:line="240" w:lineRule="auto"/>
              <w:jc w:val="both"/>
              <w:rPr>
                <w:rFonts w:ascii="Arial" w:hAnsi="Arial"/>
              </w:rPr>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p w:rsidR="00BE0F16" w:rsidRDefault="00BE0F16">
            <w:pPr>
              <w:pStyle w:val="Standard"/>
              <w:spacing w:after="0" w:line="240" w:lineRule="auto"/>
              <w:jc w:val="both"/>
            </w:pPr>
          </w:p>
        </w:tc>
        <w:tc>
          <w:tcPr>
            <w:tcW w:w="122" w:type="dxa"/>
            <w:shd w:val="clear" w:color="auto" w:fill="auto"/>
            <w:tcMar>
              <w:top w:w="0" w:type="dxa"/>
              <w:left w:w="10" w:type="dxa"/>
              <w:bottom w:w="0" w:type="dxa"/>
              <w:right w:w="10" w:type="dxa"/>
            </w:tcMar>
          </w:tcPr>
          <w:p w:rsidR="00BE0F16" w:rsidRDefault="00BE0F16">
            <w:pPr>
              <w:pStyle w:val="Standard"/>
            </w:pPr>
          </w:p>
        </w:tc>
      </w:tr>
    </w:tbl>
    <w:p w:rsidR="00BE0F16" w:rsidRDefault="00BC5EED">
      <w:pPr>
        <w:pStyle w:val="Standard"/>
      </w:pPr>
      <w:r>
        <w:t>The form should be filled out in English and/or other languages  that the courses  offered in Erasmus programme implement</w:t>
      </w:r>
    </w:p>
    <w:sectPr w:rsidR="00BE0F1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ED" w:rsidRDefault="00BC5EED">
      <w:pPr>
        <w:spacing w:after="0" w:line="240" w:lineRule="auto"/>
      </w:pPr>
      <w:r>
        <w:separator/>
      </w:r>
    </w:p>
  </w:endnote>
  <w:endnote w:type="continuationSeparator" w:id="0">
    <w:p w:rsidR="00BC5EED" w:rsidRDefault="00BC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ED" w:rsidRDefault="00BC5EED">
      <w:pPr>
        <w:spacing w:after="0" w:line="240" w:lineRule="auto"/>
      </w:pPr>
      <w:r>
        <w:rPr>
          <w:color w:val="000000"/>
        </w:rPr>
        <w:separator/>
      </w:r>
    </w:p>
  </w:footnote>
  <w:footnote w:type="continuationSeparator" w:id="0">
    <w:p w:rsidR="00BC5EED" w:rsidRDefault="00BC5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73907"/>
    <w:multiLevelType w:val="multilevel"/>
    <w:tmpl w:val="1C56820E"/>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E0F16"/>
    <w:rsid w:val="004E1FDC"/>
    <w:rsid w:val="00BC5EED"/>
    <w:rsid w:val="00BE0F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EBFD9-FD05-47BB-807A-6FC51EC3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hr-H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numbering" w:customStyle="1" w:styleId="WW8Num4">
    <w:name w:val="WW8Num4"/>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sstepano@unizd.hr</dc:creator>
  <cp:lastModifiedBy>mbahnik@unizd.hr</cp:lastModifiedBy>
  <cp:revision>2</cp:revision>
  <cp:lastPrinted>2016-01-28T08:45:00Z</cp:lastPrinted>
  <dcterms:created xsi:type="dcterms:W3CDTF">2022-12-01T09:03:00Z</dcterms:created>
  <dcterms:modified xsi:type="dcterms:W3CDTF">2022-12-01T09:03:00Z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