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7E3CAA" w:rsidRPr="006E0223" w14:paraId="7629C71F" w14:textId="77777777" w:rsidTr="008069A4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59BE5759" w14:textId="12AC3568" w:rsidR="007E3CAA" w:rsidRPr="006E0223" w:rsidRDefault="007E3CAA" w:rsidP="007E3CAA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Le théâtre et le film dans l'enseignement du français langue étrangère </w:t>
            </w:r>
          </w:p>
        </w:tc>
      </w:tr>
      <w:tr w:rsidR="007E3CAA" w:rsidRPr="006E0223" w14:paraId="1EE3A883" w14:textId="77777777" w:rsidTr="007E3CAA">
        <w:tc>
          <w:tcPr>
            <w:tcW w:w="2539" w:type="dxa"/>
          </w:tcPr>
          <w:p w14:paraId="3BC8EFA4" w14:textId="77777777" w:rsidR="007E3CAA" w:rsidRPr="006E0223" w:rsidRDefault="007E3CAA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23" w:type="dxa"/>
          </w:tcPr>
          <w:p w14:paraId="269E3854" w14:textId="2C602D2E" w:rsidR="007E3CAA" w:rsidRPr="006E0223" w:rsidRDefault="007E3CAA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III</w:t>
            </w:r>
            <w:r w:rsidRPr="007E3CAA">
              <w:rPr>
                <w:rFonts w:ascii="Arial" w:eastAsiaTheme="minorEastAsia" w:hAnsi="Arial" w:cs="Arial"/>
                <w:b/>
                <w:bCs/>
                <w:kern w:val="24"/>
                <w:vertAlign w:val="superscript"/>
              </w:rPr>
              <w:t>e</w:t>
            </w:r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 semestre de Master (II)</w:t>
            </w:r>
          </w:p>
        </w:tc>
      </w:tr>
      <w:tr w:rsidR="007E3CAA" w:rsidRPr="006E0223" w14:paraId="52771733" w14:textId="77777777" w:rsidTr="007E3CAA">
        <w:tc>
          <w:tcPr>
            <w:tcW w:w="2539" w:type="dxa"/>
          </w:tcPr>
          <w:p w14:paraId="1EC473B2" w14:textId="77777777" w:rsidR="007E3CAA" w:rsidRPr="006E0223" w:rsidRDefault="007E3CAA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23" w:type="dxa"/>
          </w:tcPr>
          <w:p w14:paraId="71973FCA" w14:textId="2700678B" w:rsidR="00042541" w:rsidRPr="006E0223" w:rsidRDefault="00B03FA1" w:rsidP="007E3CAA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 h ( 1H de CM et 1H de TD</w:t>
            </w:r>
            <w:r w:rsidR="00042541">
              <w:rPr>
                <w:rFonts w:ascii="Arial" w:eastAsiaTheme="minorEastAsia" w:hAnsi="Arial" w:cs="Arial"/>
                <w:bCs/>
                <w:kern w:val="24"/>
              </w:rPr>
              <w:t>)</w:t>
            </w:r>
          </w:p>
        </w:tc>
      </w:tr>
      <w:tr w:rsidR="00042541" w:rsidRPr="006E0223" w14:paraId="67C1FE80" w14:textId="77777777" w:rsidTr="007E3CAA">
        <w:tc>
          <w:tcPr>
            <w:tcW w:w="2539" w:type="dxa"/>
          </w:tcPr>
          <w:p w14:paraId="0ED55101" w14:textId="5C934C07" w:rsidR="00042541" w:rsidRPr="006E0223" w:rsidRDefault="00042541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Points ECTS</w:t>
            </w:r>
          </w:p>
        </w:tc>
        <w:tc>
          <w:tcPr>
            <w:tcW w:w="6523" w:type="dxa"/>
          </w:tcPr>
          <w:p w14:paraId="289142F2" w14:textId="184D645F" w:rsidR="00042541" w:rsidRDefault="00042541" w:rsidP="007E3CAA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3</w:t>
            </w:r>
          </w:p>
        </w:tc>
      </w:tr>
      <w:tr w:rsidR="007E3CAA" w:rsidRPr="006E0223" w14:paraId="76F5F160" w14:textId="77777777" w:rsidTr="007E3CAA">
        <w:tc>
          <w:tcPr>
            <w:tcW w:w="2539" w:type="dxa"/>
          </w:tcPr>
          <w:p w14:paraId="3DC1F23E" w14:textId="77777777" w:rsidR="007E3CAA" w:rsidRPr="006E0223" w:rsidRDefault="007E3CAA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23" w:type="dxa"/>
          </w:tcPr>
          <w:p w14:paraId="6D345A50" w14:textId="0A6AFA5E" w:rsidR="007E3CAA" w:rsidRPr="007E3CAA" w:rsidRDefault="007E3CAA" w:rsidP="007E3C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À la fin des cours, les étudiants seront aptes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aussi bien de préparer la représentation d’une pièce du théâtre français</w:t>
            </w:r>
            <w:r w:rsidR="006E3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31A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avec les apprenants dans un collège ou un lycée,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que </w:t>
            </w: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de donner </w:t>
            </w:r>
            <w:r w:rsidR="00B03FA1"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un cou</w:t>
            </w:r>
            <w:r w:rsidR="00B03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rs basé</w:t>
            </w:r>
            <w:r w:rsidR="006E3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sur l’étude d’un extrait d’une pièce choisie </w:t>
            </w: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du théâtre français en classe de français langue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seconde ou étrangère </w:t>
            </w: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dans un lycée bilingue français (niveau B1 à C1</w:t>
            </w:r>
            <w:r w:rsidR="000D6E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du CECR</w:t>
            </w: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C7991BF" w14:textId="77777777" w:rsidR="007E3CAA" w:rsidRPr="007E3CAA" w:rsidRDefault="007E3CAA" w:rsidP="007E3C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47711E2" w14:textId="10E8E682" w:rsidR="007E3CAA" w:rsidRPr="009D7A31" w:rsidRDefault="007E3CAA" w:rsidP="007E3CAA">
            <w:pPr>
              <w:pStyle w:val="NoSpacing"/>
              <w:rPr>
                <w:rFonts w:ascii="Arial" w:eastAsiaTheme="minorEastAsia" w:hAnsi="Arial"/>
                <w:b/>
                <w:kern w:val="24"/>
              </w:rPr>
            </w:pP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Les étudiants seront capables de choisir eux-mêmes des ouvrages de référence, pédagogiques et autres, des méthodes d’enseignement de textes de théâtre, et des formes sociaux de l’enseignement. Ils seront aussi initiés à l’analyse et à l’approche critique concernant l’utilisation des textes du théâtre franç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ais</w:t>
            </w: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aussi bien dans les classes de FLE qu’en classe de français langue seconde des lycées bilingues français. Ils seront aussi capables de créer et de préparer eux-mêmes des fiches pédagogiques concernant des textes de théâtre ou des films pour tous les niveaux d’apprentissage de FLE ou de française langue seconde (jusqu’au niveau C2</w:t>
            </w:r>
            <w:r w:rsidR="000D6E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du CECR</w:t>
            </w:r>
            <w:r w:rsidRPr="007E3C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7E3CAA" w:rsidRPr="006E0223" w14:paraId="65F5FDF7" w14:textId="77777777" w:rsidTr="007E3CAA">
        <w:tc>
          <w:tcPr>
            <w:tcW w:w="2539" w:type="dxa"/>
          </w:tcPr>
          <w:p w14:paraId="5439EDC1" w14:textId="77777777" w:rsidR="007E3CAA" w:rsidRPr="006E0223" w:rsidRDefault="007E3CAA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23" w:type="dxa"/>
          </w:tcPr>
          <w:p w14:paraId="4D62E4F2" w14:textId="7E9B5E05" w:rsidR="007E3CAA" w:rsidRPr="00157F1E" w:rsidRDefault="00831AF0" w:rsidP="00831AF0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Les étudiants 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seront familiarisés à l’approche au théâtre comme texte et comme l’art du spectacle. </w:t>
            </w:r>
            <w:r w:rsidR="00B03FA1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Ils seront familiarisés avec l’esthétique et la poétique des auteurs majeurs du théâtre français afin de pouvoir monter des représentations des pièces de ces dramaturges avec leurs futurs apprenants. </w:t>
            </w:r>
            <w:r w:rsidR="00C80250"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Ils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apprendront </w:t>
            </w:r>
            <w:r w:rsidR="00B0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également 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à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choisir et 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à 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analyser des 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extraits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des 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œuvres des 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auteurs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majeurs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du théâtre français en classe de français langue </w:t>
            </w:r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étrangère, aux niveaux B1-C2</w:t>
            </w:r>
            <w:r w:rsidR="000D6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du CECR</w:t>
            </w:r>
            <w:bookmarkStart w:id="0" w:name="_GoBack"/>
            <w:bookmarkEnd w:id="0"/>
            <w:r w:rsid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157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et notamment en classe 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des lycée</w:t>
            </w:r>
            <w:r w:rsidR="00B0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bilingues français. Ils seront familiarisé</w:t>
            </w:r>
            <w:r w:rsidR="00C80250"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  <w:r w:rsidRPr="00C80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avec </w:t>
            </w:r>
            <w:r w:rsidRPr="00C802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la méthode de l’explication de texte et de commentaire composé</w:t>
            </w:r>
            <w:r w:rsidR="00C80250" w:rsidRPr="00C802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, et apprendront à rédiger et préparer </w:t>
            </w:r>
            <w:r w:rsidRPr="00C802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des fiches pédagogiques.</w:t>
            </w:r>
            <w:r w:rsidR="00C802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7E3CAA" w:rsidRPr="006E0223" w14:paraId="6083CD6B" w14:textId="77777777" w:rsidTr="007E3CAA">
        <w:tc>
          <w:tcPr>
            <w:tcW w:w="2539" w:type="dxa"/>
          </w:tcPr>
          <w:p w14:paraId="291CD5B5" w14:textId="77777777" w:rsidR="007E3CAA" w:rsidRPr="006E0223" w:rsidRDefault="007E3CAA" w:rsidP="007E3CA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523" w:type="dxa"/>
          </w:tcPr>
          <w:p w14:paraId="523F4696" w14:textId="02A2D566" w:rsidR="007E3CAA" w:rsidRPr="00B03FA1" w:rsidRDefault="00157F1E" w:rsidP="007E3CAA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</w:rPr>
            </w:pPr>
            <w:r w:rsidRPr="00B03FA1">
              <w:rPr>
                <w:rFonts w:ascii="Times New Roman" w:eastAsiaTheme="minorEastAsia" w:hAnsi="Times New Roman" w:cs="Times New Roman"/>
                <w:bCs/>
                <w:kern w:val="24"/>
              </w:rPr>
              <w:t>Examen oral</w:t>
            </w:r>
          </w:p>
        </w:tc>
      </w:tr>
      <w:tr w:rsidR="00B03FA1" w:rsidRPr="006E0223" w14:paraId="38BFCD45" w14:textId="77777777" w:rsidTr="00136802">
        <w:tc>
          <w:tcPr>
            <w:tcW w:w="2539" w:type="dxa"/>
          </w:tcPr>
          <w:p w14:paraId="3B6C7569" w14:textId="77777777" w:rsidR="00B03FA1" w:rsidRPr="006E0223" w:rsidRDefault="00B03FA1" w:rsidP="00B03F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523" w:type="dxa"/>
            <w:vAlign w:val="center"/>
          </w:tcPr>
          <w:p w14:paraId="06E05AEB" w14:textId="77777777" w:rsidR="00B03FA1" w:rsidRPr="00B03FA1" w:rsidRDefault="00B03FA1" w:rsidP="00B03FA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B03FA1">
              <w:rPr>
                <w:rFonts w:ascii="Times New Roman" w:hAnsi="Times New Roman" w:cs="Times New Roman"/>
                <w:lang w:val="hr-HR"/>
              </w:rPr>
              <w:t xml:space="preserve">Emmanuèle Blanc, </w:t>
            </w:r>
            <w:r w:rsidRPr="00B03FA1">
              <w:rPr>
                <w:rFonts w:ascii="Times New Roman" w:hAnsi="Times New Roman" w:cs="Times New Roman"/>
                <w:i/>
                <w:lang w:val="hr-HR"/>
              </w:rPr>
              <w:t>Le commentaire littéraire. Méthode et applications</w:t>
            </w:r>
            <w:r w:rsidRPr="00B03FA1">
              <w:rPr>
                <w:rFonts w:ascii="Times New Roman" w:hAnsi="Times New Roman" w:cs="Times New Roman"/>
                <w:lang w:val="hr-HR"/>
              </w:rPr>
              <w:t>, Paris : Ellipses Éditions Marketing, 2014, p. 6-21.</w:t>
            </w:r>
          </w:p>
          <w:p w14:paraId="59861FAE" w14:textId="51F22FF5" w:rsidR="00B03FA1" w:rsidRDefault="00B03FA1" w:rsidP="00B03FA1">
            <w:pPr>
              <w:spacing w:after="0" w:line="24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</w:t>
            </w:r>
            <w:r w:rsidRPr="00CC6FB8">
              <w:rPr>
                <w:rFonts w:ascii="Times New Roman" w:hAnsi="Times New Roman"/>
                <w:lang w:val="hr-HR"/>
              </w:rPr>
              <w:t xml:space="preserve">ean-Michel Gouvard, </w:t>
            </w:r>
            <w:r w:rsidRPr="00CC6FB8">
              <w:rPr>
                <w:rFonts w:ascii="Times New Roman" w:hAnsi="Times New Roman"/>
                <w:i/>
                <w:lang w:val="hr-HR"/>
              </w:rPr>
              <w:t>De l’explication de texte au commentaire composé</w:t>
            </w:r>
            <w:r w:rsidRPr="00CC6FB8">
              <w:rPr>
                <w:rFonts w:ascii="Times New Roman" w:hAnsi="Times New Roman"/>
                <w:lang w:val="hr-HR"/>
              </w:rPr>
              <w:t>, Paris : Ellipses Éditions Marketing, 2015, 7-16, 21-25, 32, 44-46, 50-52, 57-59, p. 145-178.</w:t>
            </w:r>
          </w:p>
          <w:p w14:paraId="0C48C891" w14:textId="77777777" w:rsidR="00B03FA1" w:rsidRDefault="00B03FA1" w:rsidP="00B03FA1">
            <w:pPr>
              <w:spacing w:after="0" w:line="240" w:lineRule="auto"/>
              <w:rPr>
                <w:rFonts w:ascii="Times New Roman" w:hAnsi="Times New Roman"/>
                <w:lang w:val="hr-HR"/>
              </w:rPr>
            </w:pPr>
            <w:r w:rsidRPr="00CC6FB8">
              <w:rPr>
                <w:rFonts w:ascii="Times New Roman" w:hAnsi="Times New Roman" w:cs="Times New Roman"/>
                <w:lang w:val="hr-HR"/>
              </w:rPr>
              <w:t xml:space="preserve">Paul-Olivier Jacopin, </w:t>
            </w:r>
            <w:r w:rsidRPr="00CC6FB8">
              <w:rPr>
                <w:rFonts w:ascii="Times New Roman" w:hAnsi="Times New Roman" w:cs="Times New Roman"/>
                <w:i/>
                <w:lang w:val="hr-HR"/>
              </w:rPr>
              <w:t>Le Commentaire composé. Méthodologie et applications</w:t>
            </w:r>
            <w:r w:rsidRPr="00CC6FB8">
              <w:rPr>
                <w:rFonts w:ascii="Times New Roman" w:hAnsi="Times New Roman" w:cs="Times New Roman"/>
                <w:lang w:val="hr-HR"/>
              </w:rPr>
              <w:t>, Paris : Dunod, 1998, p. 12-35, 117-126.</w:t>
            </w:r>
          </w:p>
          <w:p w14:paraId="4AE11A6E" w14:textId="097A2FFB" w:rsidR="00B03FA1" w:rsidRPr="00B03FA1" w:rsidRDefault="00B03FA1" w:rsidP="00B03FA1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kern w:val="24"/>
              </w:rPr>
            </w:pPr>
            <w:r w:rsidRPr="00B03FA1">
              <w:rPr>
                <w:rFonts w:ascii="Times New Roman" w:hAnsi="Times New Roman" w:cs="Times New Roman"/>
                <w:lang w:val="hr-HR"/>
              </w:rPr>
              <w:t xml:space="preserve">Jacques Vassevière et al., </w:t>
            </w:r>
            <w:r w:rsidRPr="00B03FA1">
              <w:rPr>
                <w:rFonts w:ascii="Times New Roman" w:hAnsi="Times New Roman" w:cs="Times New Roman"/>
                <w:i/>
                <w:lang w:val="hr-HR"/>
              </w:rPr>
              <w:t>Manuel d’analyse des textes</w:t>
            </w:r>
            <w:r w:rsidRPr="00B03FA1">
              <w:rPr>
                <w:rFonts w:ascii="Times New Roman" w:hAnsi="Times New Roman" w:cs="Times New Roman"/>
                <w:lang w:val="hr-HR"/>
              </w:rPr>
              <w:t>, Paris : Armand Colin, 2014, p. 133-160, 160-165, 204-205.</w:t>
            </w:r>
          </w:p>
        </w:tc>
      </w:tr>
      <w:tr w:rsidR="00B03FA1" w:rsidRPr="006E0223" w14:paraId="00BE2969" w14:textId="77777777" w:rsidTr="007E3CAA">
        <w:tc>
          <w:tcPr>
            <w:tcW w:w="2539" w:type="dxa"/>
          </w:tcPr>
          <w:p w14:paraId="3132ABB4" w14:textId="77777777" w:rsidR="00B03FA1" w:rsidRPr="006E0223" w:rsidRDefault="00B03FA1" w:rsidP="00B03FA1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Responsable (nom et adresse mail)</w:t>
            </w:r>
          </w:p>
        </w:tc>
        <w:tc>
          <w:tcPr>
            <w:tcW w:w="6523" w:type="dxa"/>
          </w:tcPr>
          <w:p w14:paraId="05A9274B" w14:textId="77777777" w:rsidR="00B03FA1" w:rsidRPr="00157F1E" w:rsidRDefault="00B03FA1" w:rsidP="00B03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sz w:val="24"/>
                <w:szCs w:val="24"/>
              </w:rPr>
              <w:t xml:space="preserve">Mme Daniela </w:t>
            </w:r>
            <w:r w:rsidRPr="00157F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Ćurko, </w:t>
            </w:r>
            <w:r w:rsidRPr="00157F1E">
              <w:rPr>
                <w:rFonts w:ascii="Times New Roman" w:hAnsi="Times New Roman" w:cs="Times New Roman"/>
                <w:sz w:val="24"/>
                <w:szCs w:val="24"/>
              </w:rPr>
              <w:t>maître de conférences H.D.R.</w:t>
            </w:r>
          </w:p>
          <w:p w14:paraId="7FF1F7D8" w14:textId="04C96FD3" w:rsidR="00B03FA1" w:rsidRPr="00157F1E" w:rsidRDefault="00B03FA1" w:rsidP="00B03FA1">
            <w:pPr>
              <w:pStyle w:val="NoSpacing"/>
              <w:rPr>
                <w:lang w:val="hr-HR"/>
              </w:rPr>
            </w:pPr>
            <w:proofErr w:type="spellStart"/>
            <w:r w:rsidRPr="00157F1E">
              <w:rPr>
                <w:rFonts w:ascii="Times New Roman" w:hAnsi="Times New Roman" w:cs="Times New Roman"/>
                <w:sz w:val="24"/>
                <w:szCs w:val="24"/>
              </w:rPr>
              <w:t>dcurko</w:t>
            </w:r>
            <w:proofErr w:type="spellEnd"/>
            <w:r w:rsidRPr="00157F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@unizd.hr</w:t>
            </w:r>
          </w:p>
        </w:tc>
      </w:tr>
    </w:tbl>
    <w:p w14:paraId="1A475213" w14:textId="77777777" w:rsidR="003D4A12" w:rsidRPr="0015552E" w:rsidRDefault="003D4A12" w:rsidP="003D4A12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p w14:paraId="5A843828" w14:textId="77777777" w:rsidR="00A643F5" w:rsidRDefault="00A643F5"/>
    <w:sectPr w:rsidR="00A643F5" w:rsidSect="0015552E">
      <w:headerReference w:type="default" r:id="rId6"/>
      <w:footerReference w:type="default" r:id="rId7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7EFD8" w14:textId="77777777" w:rsidR="009625A4" w:rsidRDefault="009625A4">
      <w:pPr>
        <w:spacing w:after="0" w:line="240" w:lineRule="auto"/>
      </w:pPr>
      <w:r>
        <w:separator/>
      </w:r>
    </w:p>
  </w:endnote>
  <w:endnote w:type="continuationSeparator" w:id="0">
    <w:p w14:paraId="1FDD0594" w14:textId="77777777" w:rsidR="009625A4" w:rsidRDefault="009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1AFFF" w14:textId="77777777" w:rsidR="00DF1C0C" w:rsidRDefault="00B03F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D9B11D" w14:textId="77777777" w:rsidR="00DF1C0C" w:rsidRDefault="00962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A224" w14:textId="77777777" w:rsidR="009625A4" w:rsidRDefault="009625A4">
      <w:pPr>
        <w:spacing w:after="0" w:line="240" w:lineRule="auto"/>
      </w:pPr>
      <w:r>
        <w:separator/>
      </w:r>
    </w:p>
  </w:footnote>
  <w:footnote w:type="continuationSeparator" w:id="0">
    <w:p w14:paraId="6DB042A6" w14:textId="77777777" w:rsidR="009625A4" w:rsidRDefault="0096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6DD5" w14:textId="77777777" w:rsidR="00DF1C0C" w:rsidRPr="0015552E" w:rsidRDefault="009625A4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2"/>
    <w:rsid w:val="00042541"/>
    <w:rsid w:val="000731E9"/>
    <w:rsid w:val="000D6EF9"/>
    <w:rsid w:val="00157F1E"/>
    <w:rsid w:val="003D4A12"/>
    <w:rsid w:val="006E3450"/>
    <w:rsid w:val="007E3CAA"/>
    <w:rsid w:val="00831AF0"/>
    <w:rsid w:val="009625A4"/>
    <w:rsid w:val="00A643F5"/>
    <w:rsid w:val="00B03FA1"/>
    <w:rsid w:val="00C80250"/>
    <w:rsid w:val="00F0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F996"/>
  <w15:chartTrackingRefBased/>
  <w15:docId w15:val="{90DE8C03-BE11-4695-99C0-731BF1FD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A12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1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3D4A12"/>
    <w:rPr>
      <w:rFonts w:ascii="Times New Roman" w:eastAsia="Calibri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D4A1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4A12"/>
    <w:rPr>
      <w:rFonts w:ascii="Times New Roman" w:eastAsia="Calibri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3D4A1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3CAA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2022-12-02T17:57:00Z</dcterms:created>
  <dcterms:modified xsi:type="dcterms:W3CDTF">2023-01-31T15:54:00Z</dcterms:modified>
</cp:coreProperties>
</file>