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2539"/>
        <w:gridCol w:w="6523"/>
      </w:tblGrid>
      <w:tr w:rsidR="00BE553C" w:rsidRPr="006849D6" w:rsidTr="00405EAC">
        <w:tc>
          <w:tcPr>
            <w:tcW w:w="9062" w:type="dxa"/>
            <w:gridSpan w:val="2"/>
            <w:shd w:val="clear" w:color="auto" w:fill="DEEAF6" w:themeFill="accent1" w:themeFillTint="33"/>
          </w:tcPr>
          <w:p w:rsidR="00BE553C" w:rsidRPr="006849D6" w:rsidRDefault="00BE553C" w:rsidP="00405EAC">
            <w:pPr>
              <w:spacing w:line="360" w:lineRule="auto"/>
              <w:jc w:val="center"/>
              <w:rPr>
                <w:rFonts w:ascii="Arial" w:eastAsiaTheme="minorEastAsia" w:hAnsi="Arial" w:cs="Arial"/>
                <w:b/>
                <w:bCs/>
                <w:kern w:val="24"/>
              </w:rPr>
            </w:pPr>
            <w:r w:rsidRPr="006849D6">
              <w:rPr>
                <w:rFonts w:ascii="Arial" w:eastAsiaTheme="minorEastAsia" w:hAnsi="Arial" w:cs="Arial"/>
                <w:b/>
                <w:bCs/>
                <w:kern w:val="24"/>
              </w:rPr>
              <w:t>La prose française contemporaine</w:t>
            </w:r>
          </w:p>
        </w:tc>
      </w:tr>
      <w:tr w:rsidR="00BE553C" w:rsidRPr="006849D6" w:rsidTr="00405EAC">
        <w:tc>
          <w:tcPr>
            <w:tcW w:w="2539" w:type="dxa"/>
          </w:tcPr>
          <w:p w:rsidR="00BE553C" w:rsidRPr="006849D6" w:rsidRDefault="00BE553C" w:rsidP="00405EAC">
            <w:pPr>
              <w:spacing w:line="360" w:lineRule="auto"/>
              <w:rPr>
                <w:rFonts w:ascii="Arial" w:eastAsiaTheme="minorEastAsia" w:hAnsi="Arial" w:cs="Arial"/>
                <w:b/>
                <w:bCs/>
                <w:kern w:val="24"/>
              </w:rPr>
            </w:pPr>
            <w:r w:rsidRPr="006849D6">
              <w:rPr>
                <w:rFonts w:ascii="Arial" w:eastAsiaTheme="minorEastAsia" w:hAnsi="Arial" w:cs="Arial"/>
                <w:b/>
                <w:bCs/>
                <w:kern w:val="24"/>
              </w:rPr>
              <w:t>Semestre</w:t>
            </w:r>
          </w:p>
        </w:tc>
        <w:tc>
          <w:tcPr>
            <w:tcW w:w="6523" w:type="dxa"/>
          </w:tcPr>
          <w:p w:rsidR="00BE553C" w:rsidRPr="006849D6" w:rsidRDefault="00BE553C" w:rsidP="00405EAC">
            <w:pPr>
              <w:spacing w:line="360" w:lineRule="auto"/>
              <w:rPr>
                <w:rFonts w:ascii="Arial" w:eastAsiaTheme="minorEastAsia" w:hAnsi="Arial" w:cs="Arial"/>
                <w:kern w:val="24"/>
              </w:rPr>
            </w:pPr>
            <w:r w:rsidRPr="006849D6">
              <w:rPr>
                <w:rFonts w:ascii="Arial" w:eastAsiaTheme="minorEastAsia" w:hAnsi="Arial" w:cs="Arial"/>
                <w:kern w:val="24"/>
              </w:rPr>
              <w:t>4.</w:t>
            </w:r>
          </w:p>
        </w:tc>
      </w:tr>
      <w:tr w:rsidR="00BE553C" w:rsidRPr="006849D6" w:rsidTr="00405EAC">
        <w:tc>
          <w:tcPr>
            <w:tcW w:w="2539" w:type="dxa"/>
          </w:tcPr>
          <w:p w:rsidR="00BE553C" w:rsidRPr="006849D6" w:rsidRDefault="00BE553C" w:rsidP="00405EAC">
            <w:pPr>
              <w:spacing w:line="360" w:lineRule="auto"/>
              <w:rPr>
                <w:rFonts w:ascii="Arial" w:eastAsiaTheme="minorEastAsia" w:hAnsi="Arial" w:cs="Arial"/>
                <w:b/>
                <w:bCs/>
                <w:kern w:val="24"/>
              </w:rPr>
            </w:pPr>
            <w:r w:rsidRPr="006849D6">
              <w:rPr>
                <w:rFonts w:ascii="Arial" w:eastAsiaTheme="minorEastAsia" w:hAnsi="Arial" w:cs="Arial"/>
                <w:b/>
                <w:bCs/>
                <w:kern w:val="24"/>
              </w:rPr>
              <w:t>Durée (en heures hebdomadaires)</w:t>
            </w:r>
          </w:p>
        </w:tc>
        <w:tc>
          <w:tcPr>
            <w:tcW w:w="6523" w:type="dxa"/>
          </w:tcPr>
          <w:p w:rsidR="00BE553C" w:rsidRPr="006849D6" w:rsidRDefault="00BE553C" w:rsidP="00405EAC">
            <w:pPr>
              <w:spacing w:line="360" w:lineRule="auto"/>
              <w:rPr>
                <w:rFonts w:ascii="Arial" w:eastAsiaTheme="minorEastAsia" w:hAnsi="Arial" w:cs="Arial"/>
                <w:bCs/>
                <w:kern w:val="24"/>
              </w:rPr>
            </w:pPr>
            <w:r w:rsidRPr="006849D6">
              <w:rPr>
                <w:rFonts w:ascii="Arial" w:eastAsiaTheme="minorEastAsia" w:hAnsi="Arial" w:cs="Arial"/>
                <w:bCs/>
                <w:kern w:val="24"/>
              </w:rPr>
              <w:t>2/30</w:t>
            </w:r>
          </w:p>
        </w:tc>
      </w:tr>
      <w:tr w:rsidR="00BE553C" w:rsidRPr="006849D6" w:rsidTr="00405EAC">
        <w:tc>
          <w:tcPr>
            <w:tcW w:w="2539" w:type="dxa"/>
          </w:tcPr>
          <w:p w:rsidR="00BE553C" w:rsidRPr="006849D6" w:rsidRDefault="00BE553C" w:rsidP="00405EAC">
            <w:pPr>
              <w:spacing w:line="360" w:lineRule="auto"/>
              <w:rPr>
                <w:rFonts w:ascii="Arial" w:eastAsiaTheme="minorEastAsia" w:hAnsi="Arial" w:cs="Arial"/>
                <w:b/>
                <w:bCs/>
                <w:kern w:val="24"/>
              </w:rPr>
            </w:pPr>
            <w:r w:rsidRPr="006849D6">
              <w:rPr>
                <w:rFonts w:ascii="Arial" w:eastAsiaTheme="minorEastAsia" w:hAnsi="Arial" w:cs="Arial"/>
                <w:b/>
                <w:bCs/>
                <w:kern w:val="24"/>
              </w:rPr>
              <w:t>Objectifs</w:t>
            </w:r>
          </w:p>
        </w:tc>
        <w:tc>
          <w:tcPr>
            <w:tcW w:w="6523" w:type="dxa"/>
          </w:tcPr>
          <w:p w:rsidR="00BE553C" w:rsidRPr="006849D6" w:rsidRDefault="00BE553C" w:rsidP="00405EAC">
            <w:pPr>
              <w:pStyle w:val="Default"/>
              <w:jc w:val="both"/>
              <w:rPr>
                <w:rFonts w:ascii="Arial" w:hAnsi="Arial" w:cs="Arial"/>
                <w:sz w:val="22"/>
                <w:szCs w:val="22"/>
                <w:lang w:val="fr-FR"/>
              </w:rPr>
            </w:pPr>
            <w:r w:rsidRPr="006849D6">
              <w:rPr>
                <w:rFonts w:ascii="Arial" w:hAnsi="Arial" w:cs="Arial"/>
                <w:sz w:val="22"/>
                <w:szCs w:val="22"/>
                <w:lang w:val="fr-FR"/>
              </w:rPr>
              <w:t xml:space="preserve">- faire connaître les outils nécessaires pour affronter l’analyse des textes littéraires </w:t>
            </w:r>
          </w:p>
          <w:p w:rsidR="00BE553C" w:rsidRPr="006849D6" w:rsidRDefault="00BE553C" w:rsidP="00405EAC">
            <w:pPr>
              <w:pStyle w:val="Default"/>
              <w:jc w:val="both"/>
              <w:rPr>
                <w:rFonts w:ascii="Arial" w:hAnsi="Arial" w:cs="Arial"/>
                <w:sz w:val="22"/>
                <w:szCs w:val="22"/>
                <w:lang w:val="fr-FR"/>
              </w:rPr>
            </w:pPr>
            <w:r w:rsidRPr="006849D6">
              <w:rPr>
                <w:rFonts w:ascii="Arial" w:hAnsi="Arial" w:cs="Arial"/>
                <w:sz w:val="22"/>
                <w:szCs w:val="22"/>
                <w:lang w:val="fr-FR"/>
              </w:rPr>
              <w:t xml:space="preserve">- établir des liens entre le contexte social d’une époque et une œuvre littéraire </w:t>
            </w:r>
          </w:p>
          <w:p w:rsidR="00BE553C" w:rsidRPr="006849D6" w:rsidRDefault="00BE553C" w:rsidP="00405EAC">
            <w:pPr>
              <w:pStyle w:val="Default"/>
              <w:jc w:val="both"/>
              <w:rPr>
                <w:rFonts w:ascii="Arial" w:hAnsi="Arial" w:cs="Arial"/>
                <w:sz w:val="22"/>
                <w:szCs w:val="22"/>
                <w:lang w:val="fr-FR"/>
              </w:rPr>
            </w:pPr>
            <w:r w:rsidRPr="006849D6">
              <w:rPr>
                <w:rFonts w:ascii="Arial" w:hAnsi="Arial" w:cs="Arial"/>
                <w:sz w:val="22"/>
                <w:szCs w:val="22"/>
                <w:lang w:val="fr-FR"/>
              </w:rPr>
              <w:t>- savoir reconnaître les principales caractéristiques (thématiques, style d’écriture) d’une œuvre littéraire contemporaine en prose</w:t>
            </w:r>
          </w:p>
          <w:p w:rsidR="00BE553C" w:rsidRPr="006849D6" w:rsidRDefault="00BE553C" w:rsidP="00405EAC">
            <w:pPr>
              <w:pStyle w:val="Default"/>
              <w:jc w:val="both"/>
              <w:rPr>
                <w:rFonts w:ascii="Arial" w:hAnsi="Arial" w:cs="Arial"/>
                <w:sz w:val="22"/>
                <w:szCs w:val="22"/>
                <w:lang w:val="fr-FR"/>
              </w:rPr>
            </w:pPr>
            <w:r w:rsidRPr="006849D6">
              <w:rPr>
                <w:rFonts w:ascii="Arial" w:hAnsi="Arial" w:cs="Arial"/>
                <w:sz w:val="22"/>
                <w:szCs w:val="22"/>
                <w:lang w:val="fr-FR"/>
              </w:rPr>
              <w:t xml:space="preserve">- savoir situer une œuvre dans son contexte géographique et socio-culturelle </w:t>
            </w:r>
          </w:p>
          <w:p w:rsidR="00BE553C" w:rsidRPr="006849D6" w:rsidRDefault="00BE553C" w:rsidP="00405EAC">
            <w:pPr>
              <w:spacing w:line="360" w:lineRule="auto"/>
              <w:rPr>
                <w:rFonts w:ascii="Arial" w:eastAsiaTheme="minorEastAsia" w:hAnsi="Arial" w:cs="Arial"/>
                <w:b/>
                <w:bCs/>
                <w:kern w:val="24"/>
              </w:rPr>
            </w:pPr>
            <w:r w:rsidRPr="006849D6">
              <w:rPr>
                <w:rFonts w:ascii="Arial" w:hAnsi="Arial" w:cs="Arial"/>
              </w:rPr>
              <w:t xml:space="preserve">-  analyser différents types de textes littéraires </w:t>
            </w:r>
          </w:p>
        </w:tc>
      </w:tr>
      <w:tr w:rsidR="00BE553C" w:rsidRPr="006849D6" w:rsidTr="00405EAC">
        <w:tc>
          <w:tcPr>
            <w:tcW w:w="2539" w:type="dxa"/>
          </w:tcPr>
          <w:p w:rsidR="00BE553C" w:rsidRPr="006849D6" w:rsidRDefault="00BE553C" w:rsidP="00405EAC">
            <w:pPr>
              <w:spacing w:line="360" w:lineRule="auto"/>
              <w:rPr>
                <w:rFonts w:ascii="Arial" w:eastAsiaTheme="minorEastAsia" w:hAnsi="Arial" w:cs="Arial"/>
                <w:b/>
                <w:bCs/>
                <w:kern w:val="24"/>
              </w:rPr>
            </w:pPr>
            <w:r w:rsidRPr="006849D6">
              <w:rPr>
                <w:rFonts w:ascii="Arial" w:eastAsiaTheme="minorEastAsia" w:hAnsi="Arial" w:cs="Arial"/>
                <w:b/>
                <w:bCs/>
                <w:kern w:val="24"/>
              </w:rPr>
              <w:t>Contenus enseignés/description des cours</w:t>
            </w:r>
          </w:p>
        </w:tc>
        <w:tc>
          <w:tcPr>
            <w:tcW w:w="6523" w:type="dxa"/>
          </w:tcPr>
          <w:p w:rsidR="00BE553C" w:rsidRPr="006849D6" w:rsidRDefault="00BE553C" w:rsidP="00405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lang w:val="hr-HR" w:eastAsia="hr-HR"/>
              </w:rPr>
            </w:pPr>
            <w:r w:rsidRPr="006849D6">
              <w:rPr>
                <w:rFonts w:ascii="Arial" w:eastAsia="Times New Roman" w:hAnsi="Arial" w:cs="Arial"/>
                <w:lang w:eastAsia="hr-HR"/>
              </w:rPr>
              <w:t>Les étudiants se familiariseront avec les particularités des différents genres de littérature en prose par la lecture et l'interprétation de textes littéraires intégraux sélectionnés. Une attention particulière sera portée aux rapports entre littérature et société, aux constructions discursives de l'identité dans les textes, à la problématisation des aspects cachés de l'histoire du XXe siècle dans la littérature de fiction, aux différents types de discours autobiographiques, aux limites de la fiction et aux formes contemporaines de l'engagement littéraire. Au cours des cours, on tentera d'acquérir des connaissances sur les rapports entre littérature et société, ainsi que sur le positionnement de la prose contemporaine dans la société française.</w:t>
            </w:r>
          </w:p>
        </w:tc>
      </w:tr>
      <w:tr w:rsidR="00BE553C" w:rsidRPr="006849D6" w:rsidTr="00405EAC">
        <w:tc>
          <w:tcPr>
            <w:tcW w:w="2539" w:type="dxa"/>
          </w:tcPr>
          <w:p w:rsidR="00BE553C" w:rsidRPr="006849D6" w:rsidRDefault="00BE553C" w:rsidP="00405EAC">
            <w:pPr>
              <w:spacing w:line="360" w:lineRule="auto"/>
              <w:rPr>
                <w:rFonts w:ascii="Arial" w:eastAsiaTheme="minorEastAsia" w:hAnsi="Arial" w:cs="Arial"/>
                <w:b/>
                <w:bCs/>
                <w:kern w:val="24"/>
              </w:rPr>
            </w:pPr>
            <w:r w:rsidRPr="006849D6">
              <w:rPr>
                <w:rFonts w:ascii="Arial" w:eastAsiaTheme="minorEastAsia" w:hAnsi="Arial" w:cs="Arial"/>
                <w:b/>
                <w:bCs/>
                <w:kern w:val="24"/>
              </w:rPr>
              <w:t>Modalités de contrôle des connaissances</w:t>
            </w:r>
          </w:p>
        </w:tc>
        <w:tc>
          <w:tcPr>
            <w:tcW w:w="6523" w:type="dxa"/>
          </w:tcPr>
          <w:p w:rsidR="00BE553C" w:rsidRPr="006849D6" w:rsidRDefault="00BE553C" w:rsidP="00405EAC">
            <w:pPr>
              <w:spacing w:line="360" w:lineRule="auto"/>
              <w:rPr>
                <w:rFonts w:ascii="Arial" w:eastAsiaTheme="minorEastAsia" w:hAnsi="Arial" w:cs="Arial"/>
                <w:kern w:val="24"/>
              </w:rPr>
            </w:pPr>
            <w:r w:rsidRPr="006849D6">
              <w:rPr>
                <w:rFonts w:ascii="Arial" w:eastAsiaTheme="minorEastAsia" w:hAnsi="Arial" w:cs="Arial"/>
                <w:kern w:val="24"/>
              </w:rPr>
              <w:t xml:space="preserve">Examen oral. </w:t>
            </w:r>
          </w:p>
        </w:tc>
      </w:tr>
      <w:tr w:rsidR="00BE553C" w:rsidRPr="006849D6" w:rsidTr="00405EAC">
        <w:tc>
          <w:tcPr>
            <w:tcW w:w="2539" w:type="dxa"/>
          </w:tcPr>
          <w:p w:rsidR="00BE553C" w:rsidRPr="006849D6" w:rsidRDefault="00BE553C" w:rsidP="00405EAC">
            <w:pPr>
              <w:spacing w:line="360" w:lineRule="auto"/>
              <w:rPr>
                <w:rFonts w:ascii="Arial" w:eastAsiaTheme="minorEastAsia" w:hAnsi="Arial" w:cs="Arial"/>
                <w:b/>
                <w:bCs/>
                <w:kern w:val="24"/>
              </w:rPr>
            </w:pPr>
            <w:r w:rsidRPr="006849D6">
              <w:rPr>
                <w:rFonts w:ascii="Arial" w:eastAsiaTheme="minorEastAsia" w:hAnsi="Arial" w:cs="Arial"/>
                <w:b/>
                <w:bCs/>
                <w:kern w:val="24"/>
              </w:rPr>
              <w:t>Bibliographie</w:t>
            </w:r>
          </w:p>
        </w:tc>
        <w:tc>
          <w:tcPr>
            <w:tcW w:w="6523" w:type="dxa"/>
          </w:tcPr>
          <w:p w:rsidR="00BE553C" w:rsidRPr="006849D6" w:rsidRDefault="00BE553C" w:rsidP="00405EAC">
            <w:pPr>
              <w:jc w:val="both"/>
              <w:rPr>
                <w:rFonts w:ascii="Arial" w:hAnsi="Arial" w:cs="Arial"/>
              </w:rPr>
            </w:pPr>
            <w:proofErr w:type="spellStart"/>
            <w:r w:rsidRPr="006849D6">
              <w:rPr>
                <w:rFonts w:ascii="Arial" w:hAnsi="Arial" w:cs="Arial"/>
              </w:rPr>
              <w:t>Blanckmann</w:t>
            </w:r>
            <w:proofErr w:type="spellEnd"/>
            <w:r w:rsidRPr="006849D6">
              <w:rPr>
                <w:rFonts w:ascii="Arial" w:hAnsi="Arial" w:cs="Arial"/>
              </w:rPr>
              <w:t xml:space="preserve">, B. et </w:t>
            </w:r>
            <w:proofErr w:type="gramStart"/>
            <w:r w:rsidRPr="006849D6">
              <w:rPr>
                <w:rFonts w:ascii="Arial" w:hAnsi="Arial" w:cs="Arial"/>
              </w:rPr>
              <w:t>al.,</w:t>
            </w:r>
            <w:proofErr w:type="gramEnd"/>
            <w:r w:rsidRPr="006849D6">
              <w:rPr>
                <w:rFonts w:ascii="Arial" w:hAnsi="Arial" w:cs="Arial"/>
              </w:rPr>
              <w:t xml:space="preserve"> </w:t>
            </w:r>
            <w:r w:rsidRPr="006849D6">
              <w:rPr>
                <w:rFonts w:ascii="Arial" w:hAnsi="Arial" w:cs="Arial"/>
                <w:i/>
              </w:rPr>
              <w:t>Le roman français au tournant du XXI</w:t>
            </w:r>
            <w:r w:rsidRPr="006849D6">
              <w:rPr>
                <w:rFonts w:ascii="Arial" w:hAnsi="Arial" w:cs="Arial"/>
                <w:i/>
                <w:vertAlign w:val="superscript"/>
              </w:rPr>
              <w:t>e</w:t>
            </w:r>
            <w:r w:rsidRPr="006849D6">
              <w:rPr>
                <w:rFonts w:ascii="Arial" w:hAnsi="Arial" w:cs="Arial"/>
                <w:i/>
              </w:rPr>
              <w:t xml:space="preserve"> siècle</w:t>
            </w:r>
            <w:r w:rsidRPr="006849D6">
              <w:rPr>
                <w:rFonts w:ascii="Arial" w:hAnsi="Arial" w:cs="Arial"/>
              </w:rPr>
              <w:t>, Presses Sorbonne Nouvelle, 2004.</w:t>
            </w:r>
          </w:p>
          <w:p w:rsidR="00BE553C" w:rsidRPr="006849D6" w:rsidRDefault="00BE553C" w:rsidP="00405EAC">
            <w:pPr>
              <w:jc w:val="both"/>
              <w:rPr>
                <w:rFonts w:ascii="Arial" w:hAnsi="Arial" w:cs="Arial"/>
                <w:lang w:val="hr-HR"/>
              </w:rPr>
            </w:pPr>
            <w:proofErr w:type="spellStart"/>
            <w:r w:rsidRPr="006849D6">
              <w:rPr>
                <w:rFonts w:ascii="Arial" w:hAnsi="Arial" w:cs="Arial"/>
                <w:lang w:val="hr-HR"/>
              </w:rPr>
              <w:t>Gefen</w:t>
            </w:r>
            <w:proofErr w:type="spellEnd"/>
            <w:r w:rsidRPr="006849D6">
              <w:rPr>
                <w:rFonts w:ascii="Arial" w:hAnsi="Arial" w:cs="Arial"/>
                <w:lang w:val="hr-HR"/>
              </w:rPr>
              <w:t xml:space="preserve">, </w:t>
            </w:r>
            <w:proofErr w:type="spellStart"/>
            <w:r w:rsidRPr="006849D6">
              <w:rPr>
                <w:rFonts w:ascii="Arial" w:hAnsi="Arial" w:cs="Arial"/>
                <w:lang w:val="hr-HR"/>
              </w:rPr>
              <w:t>Alexandre</w:t>
            </w:r>
            <w:proofErr w:type="spellEnd"/>
            <w:r w:rsidRPr="006849D6">
              <w:rPr>
                <w:rFonts w:ascii="Arial" w:hAnsi="Arial" w:cs="Arial"/>
                <w:lang w:val="hr-HR"/>
              </w:rPr>
              <w:t xml:space="preserve">, </w:t>
            </w:r>
            <w:r w:rsidRPr="006849D6">
              <w:rPr>
                <w:rFonts w:ascii="Arial" w:hAnsi="Arial" w:cs="Arial"/>
                <w:i/>
                <w:iCs/>
              </w:rPr>
              <w:t>Réparer le monde. La littérature française face au XXIe siècle</w:t>
            </w:r>
            <w:r w:rsidRPr="006849D6">
              <w:rPr>
                <w:rFonts w:ascii="Arial" w:hAnsi="Arial" w:cs="Arial"/>
                <w:lang w:val="hr-HR"/>
              </w:rPr>
              <w:t xml:space="preserve">, José </w:t>
            </w:r>
            <w:proofErr w:type="spellStart"/>
            <w:r w:rsidRPr="006849D6">
              <w:rPr>
                <w:rFonts w:ascii="Arial" w:hAnsi="Arial" w:cs="Arial"/>
                <w:lang w:val="hr-HR"/>
              </w:rPr>
              <w:t>Cortì</w:t>
            </w:r>
            <w:proofErr w:type="spellEnd"/>
            <w:r w:rsidRPr="006849D6">
              <w:rPr>
                <w:rFonts w:ascii="Arial" w:hAnsi="Arial" w:cs="Arial"/>
                <w:lang w:val="hr-HR"/>
              </w:rPr>
              <w:t>, 2017.</w:t>
            </w:r>
          </w:p>
          <w:p w:rsidR="00BE553C" w:rsidRPr="006849D6" w:rsidRDefault="00BE553C" w:rsidP="00405EAC">
            <w:pPr>
              <w:jc w:val="both"/>
              <w:rPr>
                <w:rFonts w:ascii="Arial" w:hAnsi="Arial" w:cs="Arial"/>
              </w:rPr>
            </w:pPr>
            <w:proofErr w:type="spellStart"/>
            <w:r w:rsidRPr="006849D6">
              <w:rPr>
                <w:rFonts w:ascii="Arial" w:hAnsi="Arial" w:cs="Arial"/>
              </w:rPr>
              <w:t>Labouret</w:t>
            </w:r>
            <w:proofErr w:type="spellEnd"/>
            <w:r w:rsidRPr="006849D6">
              <w:rPr>
                <w:rFonts w:ascii="Arial" w:hAnsi="Arial" w:cs="Arial"/>
              </w:rPr>
              <w:t xml:space="preserve">, D., </w:t>
            </w:r>
            <w:r w:rsidRPr="006849D6">
              <w:rPr>
                <w:rFonts w:ascii="Arial" w:hAnsi="Arial" w:cs="Arial"/>
                <w:i/>
              </w:rPr>
              <w:t>Littérature française du XX</w:t>
            </w:r>
            <w:r w:rsidRPr="006849D6">
              <w:rPr>
                <w:rFonts w:ascii="Arial" w:hAnsi="Arial" w:cs="Arial"/>
                <w:i/>
                <w:vertAlign w:val="superscript"/>
              </w:rPr>
              <w:t>e</w:t>
            </w:r>
            <w:r w:rsidRPr="006849D6">
              <w:rPr>
                <w:rFonts w:ascii="Arial" w:hAnsi="Arial" w:cs="Arial"/>
                <w:i/>
              </w:rPr>
              <w:t xml:space="preserve"> siècle (1900-2010)</w:t>
            </w:r>
            <w:r w:rsidRPr="006849D6">
              <w:rPr>
                <w:rFonts w:ascii="Arial" w:hAnsi="Arial" w:cs="Arial"/>
              </w:rPr>
              <w:t xml:space="preserve">, Armand Colin, 2013. </w:t>
            </w:r>
          </w:p>
          <w:p w:rsidR="00BE553C" w:rsidRPr="006849D6" w:rsidRDefault="00BE553C" w:rsidP="00405EAC">
            <w:pPr>
              <w:jc w:val="both"/>
              <w:rPr>
                <w:rFonts w:ascii="Arial" w:eastAsia="Times New Roman" w:hAnsi="Arial" w:cs="Arial"/>
              </w:rPr>
            </w:pPr>
            <w:r w:rsidRPr="006849D6">
              <w:rPr>
                <w:rFonts w:ascii="Arial" w:eastAsia="Times New Roman" w:hAnsi="Arial" w:cs="Arial"/>
              </w:rPr>
              <w:t>Touret, M. (</w:t>
            </w:r>
            <w:proofErr w:type="spellStart"/>
            <w:r w:rsidRPr="006849D6">
              <w:rPr>
                <w:rFonts w:ascii="Arial" w:eastAsia="Times New Roman" w:hAnsi="Arial" w:cs="Arial"/>
              </w:rPr>
              <w:t>dir</w:t>
            </w:r>
            <w:proofErr w:type="spellEnd"/>
            <w:r w:rsidRPr="006849D6">
              <w:rPr>
                <w:rFonts w:ascii="Arial" w:eastAsia="Times New Roman" w:hAnsi="Arial" w:cs="Arial"/>
              </w:rPr>
              <w:t xml:space="preserve">.), </w:t>
            </w:r>
            <w:r w:rsidRPr="006849D6">
              <w:rPr>
                <w:rFonts w:ascii="Arial" w:eastAsia="Times New Roman" w:hAnsi="Arial" w:cs="Arial"/>
                <w:i/>
              </w:rPr>
              <w:t>Histoire de la littérature française du XX</w:t>
            </w:r>
            <w:r w:rsidRPr="006849D6">
              <w:rPr>
                <w:rFonts w:ascii="Arial" w:eastAsia="Times New Roman" w:hAnsi="Arial" w:cs="Arial"/>
                <w:i/>
                <w:vertAlign w:val="superscript"/>
              </w:rPr>
              <w:t>e</w:t>
            </w:r>
            <w:r w:rsidRPr="006849D6">
              <w:rPr>
                <w:rFonts w:ascii="Arial" w:eastAsia="Times New Roman" w:hAnsi="Arial" w:cs="Arial"/>
                <w:i/>
              </w:rPr>
              <w:t xml:space="preserve"> siècle, tome II, Après 1940</w:t>
            </w:r>
            <w:r w:rsidRPr="006849D6">
              <w:rPr>
                <w:rFonts w:ascii="Arial" w:eastAsia="Times New Roman" w:hAnsi="Arial" w:cs="Arial"/>
              </w:rPr>
              <w:t>, Presses Universitaires de Rennes, 2008.</w:t>
            </w:r>
          </w:p>
          <w:p w:rsidR="00BE553C" w:rsidRPr="006849D6" w:rsidRDefault="00BE553C" w:rsidP="00405EAC">
            <w:pPr>
              <w:jc w:val="both"/>
              <w:rPr>
                <w:rFonts w:ascii="Arial" w:hAnsi="Arial" w:cs="Arial"/>
                <w:lang w:val="hr-HR"/>
              </w:rPr>
            </w:pPr>
            <w:proofErr w:type="spellStart"/>
            <w:r w:rsidRPr="006849D6">
              <w:rPr>
                <w:rFonts w:ascii="Arial" w:eastAsia="Times New Roman" w:hAnsi="Arial" w:cs="Arial"/>
              </w:rPr>
              <w:lastRenderedPageBreak/>
              <w:t>Viart</w:t>
            </w:r>
            <w:proofErr w:type="spellEnd"/>
            <w:r w:rsidRPr="006849D6">
              <w:rPr>
                <w:rFonts w:ascii="Arial" w:eastAsia="Times New Roman" w:hAnsi="Arial" w:cs="Arial"/>
              </w:rPr>
              <w:t xml:space="preserve">, D., </w:t>
            </w:r>
            <w:proofErr w:type="spellStart"/>
            <w:r w:rsidRPr="006849D6">
              <w:rPr>
                <w:rFonts w:ascii="Arial" w:eastAsia="Times New Roman" w:hAnsi="Arial" w:cs="Arial"/>
              </w:rPr>
              <w:t>Vercier</w:t>
            </w:r>
            <w:proofErr w:type="spellEnd"/>
            <w:r w:rsidRPr="006849D6">
              <w:rPr>
                <w:rFonts w:ascii="Arial" w:eastAsia="Times New Roman" w:hAnsi="Arial" w:cs="Arial"/>
              </w:rPr>
              <w:t xml:space="preserve">, B., </w:t>
            </w:r>
            <w:r w:rsidRPr="006849D6">
              <w:rPr>
                <w:rFonts w:ascii="Arial" w:eastAsia="Times New Roman" w:hAnsi="Arial" w:cs="Arial"/>
                <w:i/>
              </w:rPr>
              <w:t>La littérature française au présent. Héritage, modernité, mutations</w:t>
            </w:r>
            <w:r w:rsidRPr="006849D6">
              <w:rPr>
                <w:rFonts w:ascii="Arial" w:eastAsia="Times New Roman" w:hAnsi="Arial" w:cs="Arial"/>
              </w:rPr>
              <w:t>, Bordas, 2008.</w:t>
            </w:r>
          </w:p>
          <w:p w:rsidR="00BE553C" w:rsidRPr="006849D6" w:rsidRDefault="00BE553C" w:rsidP="00405EAC">
            <w:pPr>
              <w:jc w:val="both"/>
              <w:rPr>
                <w:rFonts w:ascii="Arial" w:eastAsiaTheme="minorEastAsia" w:hAnsi="Arial" w:cs="Arial"/>
                <w:b/>
                <w:bCs/>
                <w:kern w:val="24"/>
              </w:rPr>
            </w:pPr>
            <w:proofErr w:type="spellStart"/>
            <w:r w:rsidRPr="006849D6">
              <w:rPr>
                <w:rFonts w:ascii="Arial" w:hAnsi="Arial" w:cs="Arial"/>
                <w:bCs/>
              </w:rPr>
              <w:t>Viart</w:t>
            </w:r>
            <w:proofErr w:type="spellEnd"/>
            <w:r w:rsidRPr="006849D6">
              <w:rPr>
                <w:rFonts w:ascii="Arial" w:hAnsi="Arial" w:cs="Arial"/>
                <w:bCs/>
              </w:rPr>
              <w:t xml:space="preserve">, D., </w:t>
            </w:r>
            <w:r w:rsidRPr="006849D6">
              <w:rPr>
                <w:rFonts w:ascii="Arial" w:hAnsi="Arial" w:cs="Arial"/>
                <w:bCs/>
                <w:i/>
              </w:rPr>
              <w:t>Le roman français au XX</w:t>
            </w:r>
            <w:r w:rsidRPr="006849D6">
              <w:rPr>
                <w:rFonts w:ascii="Arial" w:hAnsi="Arial" w:cs="Arial"/>
                <w:bCs/>
                <w:i/>
                <w:vertAlign w:val="superscript"/>
              </w:rPr>
              <w:t>e</w:t>
            </w:r>
            <w:r w:rsidRPr="006849D6">
              <w:rPr>
                <w:rFonts w:ascii="Arial" w:hAnsi="Arial" w:cs="Arial"/>
                <w:bCs/>
                <w:i/>
              </w:rPr>
              <w:t xml:space="preserve"> siècle</w:t>
            </w:r>
            <w:r w:rsidRPr="006849D6">
              <w:rPr>
                <w:rFonts w:ascii="Arial" w:hAnsi="Arial" w:cs="Arial"/>
                <w:bCs/>
              </w:rPr>
              <w:t>, Armand Colin, Paris, 2011.</w:t>
            </w:r>
          </w:p>
        </w:tc>
      </w:tr>
      <w:tr w:rsidR="00BE553C" w:rsidRPr="006849D6" w:rsidTr="00405EAC">
        <w:tc>
          <w:tcPr>
            <w:tcW w:w="2539" w:type="dxa"/>
          </w:tcPr>
          <w:p w:rsidR="00BE553C" w:rsidRPr="006849D6" w:rsidRDefault="00BE553C" w:rsidP="00405EAC">
            <w:pPr>
              <w:spacing w:line="360" w:lineRule="auto"/>
              <w:rPr>
                <w:rFonts w:ascii="Arial" w:eastAsiaTheme="minorEastAsia" w:hAnsi="Arial" w:cs="Arial"/>
                <w:b/>
                <w:bCs/>
                <w:kern w:val="24"/>
              </w:rPr>
            </w:pPr>
            <w:r w:rsidRPr="006849D6">
              <w:rPr>
                <w:rFonts w:ascii="Arial" w:eastAsiaTheme="minorEastAsia" w:hAnsi="Arial" w:cs="Arial"/>
                <w:b/>
                <w:bCs/>
                <w:kern w:val="24"/>
              </w:rPr>
              <w:lastRenderedPageBreak/>
              <w:t>Responsable (nom et adresse mail)</w:t>
            </w:r>
          </w:p>
        </w:tc>
        <w:tc>
          <w:tcPr>
            <w:tcW w:w="6523" w:type="dxa"/>
          </w:tcPr>
          <w:p w:rsidR="00BE553C" w:rsidRPr="006849D6" w:rsidRDefault="00BE553C" w:rsidP="00405EAC">
            <w:pPr>
              <w:spacing w:line="360" w:lineRule="auto"/>
              <w:rPr>
                <w:rFonts w:ascii="Arial" w:eastAsiaTheme="minorEastAsia" w:hAnsi="Arial" w:cs="Arial"/>
                <w:b/>
                <w:bCs/>
                <w:kern w:val="24"/>
              </w:rPr>
            </w:pPr>
            <w:proofErr w:type="spellStart"/>
            <w:r w:rsidRPr="006849D6">
              <w:rPr>
                <w:rFonts w:ascii="Arial" w:eastAsiaTheme="minorEastAsia" w:hAnsi="Arial" w:cs="Arial"/>
                <w:kern w:val="24"/>
              </w:rPr>
              <w:t>Mirna</w:t>
            </w:r>
            <w:proofErr w:type="spellEnd"/>
            <w:r w:rsidRPr="006849D6">
              <w:rPr>
                <w:rFonts w:ascii="Arial" w:eastAsiaTheme="minorEastAsia" w:hAnsi="Arial" w:cs="Arial"/>
                <w:kern w:val="24"/>
              </w:rPr>
              <w:t xml:space="preserve"> </w:t>
            </w:r>
            <w:proofErr w:type="spellStart"/>
            <w:r w:rsidRPr="006849D6">
              <w:rPr>
                <w:rFonts w:ascii="Arial" w:eastAsiaTheme="minorEastAsia" w:hAnsi="Arial" w:cs="Arial"/>
                <w:kern w:val="24"/>
              </w:rPr>
              <w:t>Sindičić</w:t>
            </w:r>
            <w:proofErr w:type="spellEnd"/>
            <w:r w:rsidRPr="006849D6">
              <w:rPr>
                <w:rFonts w:ascii="Arial" w:eastAsiaTheme="minorEastAsia" w:hAnsi="Arial" w:cs="Arial"/>
                <w:kern w:val="24"/>
              </w:rPr>
              <w:t xml:space="preserve"> </w:t>
            </w:r>
            <w:proofErr w:type="spellStart"/>
            <w:r w:rsidRPr="006849D6">
              <w:rPr>
                <w:rFonts w:ascii="Arial" w:eastAsiaTheme="minorEastAsia" w:hAnsi="Arial" w:cs="Arial"/>
                <w:kern w:val="24"/>
              </w:rPr>
              <w:t>Sabljo</w:t>
            </w:r>
            <w:proofErr w:type="spellEnd"/>
            <w:r w:rsidRPr="006849D6">
              <w:rPr>
                <w:rFonts w:ascii="Arial" w:eastAsiaTheme="minorEastAsia" w:hAnsi="Arial" w:cs="Arial"/>
                <w:kern w:val="24"/>
              </w:rPr>
              <w:t>, msindici@unizd.hr</w:t>
            </w:r>
          </w:p>
        </w:tc>
      </w:tr>
    </w:tbl>
    <w:p w:rsidR="00C637AE" w:rsidRDefault="00C637AE">
      <w:bookmarkStart w:id="0" w:name="_GoBack"/>
      <w:bookmarkEnd w:id="0"/>
    </w:p>
    <w:sectPr w:rsidR="00C637AE">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53C"/>
    <w:rsid w:val="00BE553C"/>
    <w:rsid w:val="00C637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D67CD4-8571-4CC7-A0B9-64570C805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553C"/>
    <w:pPr>
      <w:spacing w:after="200" w:line="276" w:lineRule="auto"/>
    </w:pPr>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E553C"/>
    <w:pPr>
      <w:spacing w:after="0" w:line="240" w:lineRule="auto"/>
    </w:pPr>
    <w:rPr>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E553C"/>
    <w:pPr>
      <w:autoSpaceDE w:val="0"/>
      <w:autoSpaceDN w:val="0"/>
      <w:adjustRightInd w:val="0"/>
      <w:spacing w:after="0" w:line="240" w:lineRule="auto"/>
    </w:pPr>
    <w:rPr>
      <w:rFonts w:ascii="Times New Roman" w:hAnsi="Times New Roman" w:cs="Times New Roman"/>
      <w:color w:val="000000"/>
      <w:sz w:val="24"/>
      <w:szCs w:val="24"/>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309</Words>
  <Characters>1762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bvodanovic@unizd.hr</dc:creator>
  <cp:keywords/>
  <dc:description/>
  <cp:lastModifiedBy>bvodanovic@unizd.hr</cp:lastModifiedBy>
  <cp:revision>1</cp:revision>
  <dcterms:created xsi:type="dcterms:W3CDTF">2022-10-19T08:27:00Z</dcterms:created>
  <dcterms:modified xsi:type="dcterms:W3CDTF">2022-10-19T08:27:00Z</dcterms:modified>
</cp:coreProperties>
</file>