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539"/>
        <w:gridCol w:w="6523"/>
      </w:tblGrid>
      <w:tr w:rsidR="00025E57" w:rsidRPr="006849D6" w:rsidTr="00F523BA">
        <w:tc>
          <w:tcPr>
            <w:tcW w:w="9062" w:type="dxa"/>
            <w:gridSpan w:val="2"/>
            <w:shd w:val="clear" w:color="auto" w:fill="DEEAF6" w:themeFill="accent1" w:themeFillTint="33"/>
          </w:tcPr>
          <w:p w:rsidR="00025E57" w:rsidRPr="006849D6" w:rsidRDefault="00025E57" w:rsidP="00F523BA">
            <w:pPr>
              <w:jc w:val="center"/>
              <w:rPr>
                <w:rFonts w:ascii="Arial" w:hAnsi="Arial" w:cs="Arial"/>
              </w:rPr>
            </w:pP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8755"/>
            </w:tblGrid>
            <w:tr w:rsidR="00025E57" w:rsidRPr="006849D6" w:rsidTr="00F523BA">
              <w:trPr>
                <w:trHeight w:val="107"/>
              </w:trPr>
              <w:tc>
                <w:tcPr>
                  <w:tcW w:w="8755" w:type="dxa"/>
                  <w:tcBorders>
                    <w:top w:val="none" w:sz="6" w:space="0" w:color="auto"/>
                    <w:bottom w:val="none" w:sz="6" w:space="0" w:color="auto"/>
                  </w:tcBorders>
                </w:tcPr>
                <w:p w:rsidR="00025E57" w:rsidRPr="006849D6" w:rsidRDefault="00025E57" w:rsidP="00F523BA">
                  <w:pPr>
                    <w:pStyle w:val="Default"/>
                    <w:jc w:val="center"/>
                    <w:rPr>
                      <w:rFonts w:ascii="Arial" w:hAnsi="Arial" w:cs="Arial"/>
                      <w:sz w:val="22"/>
                      <w:szCs w:val="22"/>
                      <w:lang w:val="fr-FR"/>
                    </w:rPr>
                  </w:pPr>
                  <w:r w:rsidRPr="006849D6">
                    <w:rPr>
                      <w:rFonts w:ascii="Arial" w:hAnsi="Arial" w:cs="Arial"/>
                      <w:b/>
                      <w:bCs/>
                      <w:sz w:val="22"/>
                      <w:szCs w:val="22"/>
                      <w:lang w:val="fr-FR"/>
                    </w:rPr>
                    <w:t xml:space="preserve">La littérature française aux XVIIe et XVIIIe </w:t>
                  </w:r>
                  <w:proofErr w:type="spellStart"/>
                  <w:r w:rsidRPr="006849D6">
                    <w:rPr>
                      <w:rFonts w:ascii="Arial" w:hAnsi="Arial" w:cs="Arial"/>
                      <w:b/>
                      <w:bCs/>
                      <w:sz w:val="22"/>
                      <w:szCs w:val="22"/>
                      <w:lang w:val="fr-FR"/>
                    </w:rPr>
                    <w:t>siècles</w:t>
                  </w:r>
                  <w:proofErr w:type="spellEnd"/>
                </w:p>
              </w:tc>
            </w:tr>
          </w:tbl>
          <w:p w:rsidR="00025E57" w:rsidRPr="006849D6" w:rsidRDefault="00025E57" w:rsidP="00F523BA">
            <w:pPr>
              <w:spacing w:line="360" w:lineRule="auto"/>
              <w:jc w:val="center"/>
              <w:rPr>
                <w:rFonts w:ascii="Arial" w:eastAsiaTheme="minorEastAsia" w:hAnsi="Arial" w:cs="Arial"/>
                <w:b/>
                <w:bCs/>
                <w:kern w:val="24"/>
              </w:rPr>
            </w:pPr>
          </w:p>
        </w:tc>
      </w:tr>
      <w:tr w:rsidR="00025E57" w:rsidRPr="006849D6" w:rsidTr="00F523BA">
        <w:tc>
          <w:tcPr>
            <w:tcW w:w="2539" w:type="dxa"/>
          </w:tcPr>
          <w:p w:rsidR="00025E57" w:rsidRPr="006849D6" w:rsidRDefault="00025E57" w:rsidP="00F523BA">
            <w:pPr>
              <w:spacing w:line="360" w:lineRule="auto"/>
              <w:rPr>
                <w:rFonts w:ascii="Arial" w:eastAsiaTheme="minorEastAsia" w:hAnsi="Arial" w:cs="Arial"/>
                <w:b/>
                <w:bCs/>
                <w:kern w:val="24"/>
              </w:rPr>
            </w:pPr>
            <w:r w:rsidRPr="006849D6">
              <w:rPr>
                <w:rFonts w:ascii="Arial" w:eastAsiaTheme="minorEastAsia" w:hAnsi="Arial" w:cs="Arial"/>
                <w:b/>
                <w:bCs/>
                <w:kern w:val="24"/>
              </w:rPr>
              <w:t>Semestre</w:t>
            </w:r>
          </w:p>
        </w:tc>
        <w:tc>
          <w:tcPr>
            <w:tcW w:w="6523" w:type="dxa"/>
          </w:tcPr>
          <w:p w:rsidR="00025E57" w:rsidRPr="006849D6" w:rsidRDefault="00025E57" w:rsidP="00F523BA">
            <w:pPr>
              <w:spacing w:line="360" w:lineRule="auto"/>
              <w:rPr>
                <w:rFonts w:ascii="Arial" w:eastAsiaTheme="minorEastAsia" w:hAnsi="Arial" w:cs="Arial"/>
                <w:kern w:val="24"/>
              </w:rPr>
            </w:pPr>
            <w:r w:rsidRPr="006849D6">
              <w:rPr>
                <w:rFonts w:ascii="Arial" w:eastAsiaTheme="minorEastAsia" w:hAnsi="Arial" w:cs="Arial"/>
                <w:kern w:val="24"/>
              </w:rPr>
              <w:t>6.</w:t>
            </w:r>
          </w:p>
        </w:tc>
      </w:tr>
      <w:tr w:rsidR="00025E57" w:rsidRPr="006849D6" w:rsidTr="00F523BA">
        <w:tc>
          <w:tcPr>
            <w:tcW w:w="2539" w:type="dxa"/>
          </w:tcPr>
          <w:p w:rsidR="00025E57" w:rsidRPr="006849D6" w:rsidRDefault="00025E57" w:rsidP="00F523BA">
            <w:pPr>
              <w:spacing w:line="360" w:lineRule="auto"/>
              <w:rPr>
                <w:rFonts w:ascii="Arial" w:eastAsiaTheme="minorEastAsia" w:hAnsi="Arial" w:cs="Arial"/>
                <w:b/>
                <w:bCs/>
                <w:kern w:val="24"/>
              </w:rPr>
            </w:pPr>
            <w:r w:rsidRPr="006849D6">
              <w:rPr>
                <w:rFonts w:ascii="Arial" w:eastAsiaTheme="minorEastAsia" w:hAnsi="Arial" w:cs="Arial"/>
                <w:b/>
                <w:bCs/>
                <w:kern w:val="24"/>
              </w:rPr>
              <w:t>Durée (en heures hebdomadaires)</w:t>
            </w:r>
          </w:p>
        </w:tc>
        <w:tc>
          <w:tcPr>
            <w:tcW w:w="6523" w:type="dxa"/>
          </w:tcPr>
          <w:p w:rsidR="00025E57" w:rsidRPr="006849D6" w:rsidRDefault="00025E57" w:rsidP="00F523BA">
            <w:pPr>
              <w:spacing w:line="360" w:lineRule="auto"/>
              <w:rPr>
                <w:rFonts w:ascii="Arial" w:eastAsiaTheme="minorEastAsia" w:hAnsi="Arial" w:cs="Arial"/>
                <w:bCs/>
                <w:kern w:val="24"/>
              </w:rPr>
            </w:pPr>
            <w:r w:rsidRPr="006849D6">
              <w:rPr>
                <w:rFonts w:ascii="Arial" w:eastAsiaTheme="minorEastAsia" w:hAnsi="Arial" w:cs="Arial"/>
                <w:bCs/>
                <w:kern w:val="24"/>
              </w:rPr>
              <w:t>3/45</w:t>
            </w:r>
          </w:p>
        </w:tc>
      </w:tr>
      <w:tr w:rsidR="00025E57" w:rsidRPr="006849D6" w:rsidTr="00F523BA">
        <w:tc>
          <w:tcPr>
            <w:tcW w:w="2539" w:type="dxa"/>
          </w:tcPr>
          <w:p w:rsidR="00025E57" w:rsidRPr="006849D6" w:rsidRDefault="00025E57" w:rsidP="00F523BA">
            <w:pPr>
              <w:spacing w:line="360" w:lineRule="auto"/>
              <w:rPr>
                <w:rFonts w:ascii="Arial" w:eastAsiaTheme="minorEastAsia" w:hAnsi="Arial" w:cs="Arial"/>
                <w:b/>
                <w:bCs/>
                <w:kern w:val="24"/>
              </w:rPr>
            </w:pPr>
            <w:r w:rsidRPr="006849D6">
              <w:rPr>
                <w:rFonts w:ascii="Arial" w:eastAsiaTheme="minorEastAsia" w:hAnsi="Arial" w:cs="Arial"/>
                <w:b/>
                <w:bCs/>
                <w:kern w:val="24"/>
              </w:rPr>
              <w:t>Objectifs</w:t>
            </w:r>
          </w:p>
        </w:tc>
        <w:tc>
          <w:tcPr>
            <w:tcW w:w="6523" w:type="dxa"/>
          </w:tcPr>
          <w:p w:rsidR="00025E57" w:rsidRPr="006849D6" w:rsidRDefault="00025E57" w:rsidP="00F523BA">
            <w:pPr>
              <w:pStyle w:val="Default"/>
              <w:jc w:val="both"/>
              <w:rPr>
                <w:rFonts w:ascii="Arial" w:hAnsi="Arial" w:cs="Arial"/>
                <w:sz w:val="22"/>
                <w:szCs w:val="22"/>
                <w:lang w:val="fr-FR"/>
              </w:rPr>
            </w:pPr>
            <w:r w:rsidRPr="006849D6">
              <w:rPr>
                <w:rFonts w:ascii="Arial" w:hAnsi="Arial" w:cs="Arial"/>
                <w:sz w:val="22"/>
                <w:szCs w:val="22"/>
                <w:lang w:val="fr-FR"/>
              </w:rPr>
              <w:t xml:space="preserve">- Familiariser les étudiants avec les genres littéraires et la vie théâtrale de 1600 à 1800, ainsi qu’avec les auteurs qui ont marqué́ cette époque. </w:t>
            </w:r>
          </w:p>
          <w:p w:rsidR="00025E57" w:rsidRPr="006849D6" w:rsidRDefault="00025E57" w:rsidP="00F523BA">
            <w:pPr>
              <w:pStyle w:val="Default"/>
              <w:jc w:val="both"/>
              <w:rPr>
                <w:rFonts w:ascii="Arial" w:hAnsi="Arial" w:cs="Arial"/>
                <w:sz w:val="22"/>
                <w:szCs w:val="22"/>
                <w:lang w:val="fr-FR"/>
              </w:rPr>
            </w:pPr>
            <w:r w:rsidRPr="006849D6">
              <w:rPr>
                <w:rFonts w:ascii="Arial" w:hAnsi="Arial" w:cs="Arial"/>
                <w:sz w:val="22"/>
                <w:szCs w:val="22"/>
                <w:lang w:val="fr-FR"/>
              </w:rPr>
              <w:t xml:space="preserve">- Fournir aux étudiants les outils d’analyse pour leur permettre de comprendre et d’expliquer les concepts littéraires. </w:t>
            </w:r>
          </w:p>
          <w:p w:rsidR="00025E57" w:rsidRPr="006849D6" w:rsidRDefault="00025E57" w:rsidP="00F523BA">
            <w:pPr>
              <w:pStyle w:val="Default"/>
              <w:jc w:val="both"/>
              <w:rPr>
                <w:rFonts w:ascii="Arial" w:hAnsi="Arial" w:cs="Arial"/>
                <w:sz w:val="22"/>
                <w:szCs w:val="22"/>
                <w:lang w:val="fr-FR"/>
              </w:rPr>
            </w:pPr>
            <w:r w:rsidRPr="006849D6">
              <w:rPr>
                <w:rFonts w:ascii="Arial" w:hAnsi="Arial" w:cs="Arial"/>
                <w:sz w:val="22"/>
                <w:szCs w:val="22"/>
                <w:lang w:val="fr-FR"/>
              </w:rPr>
              <w:t xml:space="preserve">- Comprendre et analyser différents types de textes littéraires ainsi que les genres. </w:t>
            </w:r>
          </w:p>
          <w:p w:rsidR="00025E57" w:rsidRPr="006849D6" w:rsidRDefault="00025E57" w:rsidP="00F523BA">
            <w:pPr>
              <w:pStyle w:val="Default"/>
              <w:jc w:val="both"/>
              <w:rPr>
                <w:rFonts w:ascii="Arial" w:hAnsi="Arial" w:cs="Arial"/>
                <w:sz w:val="22"/>
                <w:szCs w:val="22"/>
                <w:lang w:val="fr-FR"/>
              </w:rPr>
            </w:pPr>
            <w:r w:rsidRPr="006849D6">
              <w:rPr>
                <w:rFonts w:ascii="Arial" w:hAnsi="Arial" w:cs="Arial"/>
                <w:sz w:val="22"/>
                <w:szCs w:val="22"/>
                <w:lang w:val="fr-FR"/>
              </w:rPr>
              <w:t xml:space="preserve">- Savoir reconnaître les principales caractéristiques (thématiques, style d’écriture) de chaque genre et des principaux écrivains de cette époque. </w:t>
            </w:r>
          </w:p>
          <w:p w:rsidR="00025E57" w:rsidRPr="006849D6" w:rsidRDefault="00025E57" w:rsidP="00F523BA">
            <w:pPr>
              <w:pStyle w:val="Default"/>
              <w:jc w:val="both"/>
              <w:rPr>
                <w:rFonts w:ascii="Arial" w:hAnsi="Arial" w:cs="Arial"/>
                <w:sz w:val="22"/>
                <w:szCs w:val="22"/>
                <w:lang w:val="fr-FR"/>
              </w:rPr>
            </w:pPr>
            <w:r w:rsidRPr="006849D6">
              <w:rPr>
                <w:rFonts w:ascii="Arial" w:hAnsi="Arial" w:cs="Arial"/>
                <w:sz w:val="22"/>
                <w:szCs w:val="22"/>
                <w:lang w:val="fr-FR"/>
              </w:rPr>
              <w:t xml:space="preserve">- Prendre conscience des enjeux historiques, esthétiques et politiques qui sous-tendent leur production et leur lecture. </w:t>
            </w:r>
          </w:p>
        </w:tc>
      </w:tr>
      <w:tr w:rsidR="00025E57" w:rsidRPr="006849D6" w:rsidTr="00F523BA">
        <w:tc>
          <w:tcPr>
            <w:tcW w:w="2539" w:type="dxa"/>
          </w:tcPr>
          <w:p w:rsidR="00025E57" w:rsidRPr="006849D6" w:rsidRDefault="00025E57" w:rsidP="00F523BA">
            <w:pPr>
              <w:spacing w:line="360" w:lineRule="auto"/>
              <w:rPr>
                <w:rFonts w:ascii="Arial" w:eastAsiaTheme="minorEastAsia" w:hAnsi="Arial" w:cs="Arial"/>
                <w:b/>
                <w:bCs/>
                <w:kern w:val="24"/>
              </w:rPr>
            </w:pPr>
            <w:r w:rsidRPr="006849D6">
              <w:rPr>
                <w:rFonts w:ascii="Arial" w:eastAsiaTheme="minorEastAsia" w:hAnsi="Arial" w:cs="Arial"/>
                <w:b/>
                <w:bCs/>
                <w:kern w:val="24"/>
              </w:rPr>
              <w:t>Contenus enseignés/description des cours</w:t>
            </w:r>
          </w:p>
        </w:tc>
        <w:tc>
          <w:tcPr>
            <w:tcW w:w="6523" w:type="dxa"/>
          </w:tcPr>
          <w:p w:rsidR="00025E57" w:rsidRPr="006849D6" w:rsidRDefault="00025E57" w:rsidP="00F523BA">
            <w:pPr>
              <w:spacing w:line="360" w:lineRule="auto"/>
              <w:jc w:val="both"/>
              <w:rPr>
                <w:rFonts w:ascii="Arial" w:eastAsiaTheme="minorEastAsia" w:hAnsi="Arial" w:cs="Arial"/>
                <w:bCs/>
                <w:kern w:val="24"/>
              </w:rPr>
            </w:pPr>
            <w:r w:rsidRPr="006849D6">
              <w:rPr>
                <w:rFonts w:ascii="Arial" w:hAnsi="Arial" w:cs="Arial"/>
              </w:rPr>
              <w:t xml:space="preserve">Ce cours est une introduction à la vie littéraire française des XVIIe et XVIIIe siècles. Plutôt que de tenter d’offrir un quelconque panorama de cette période, nous en aborderons quelques thèmes qui nous permettront de saisir certaines de ses facettes les plus originales. Nous commencerons par examiner les notions de « Grand siècle », de « baroque et classicisme », de « jansénisme, honnêteté et libertinisme » de « dramaturgie classique », des « Lumières », de « préromantisme » etc., avant d’étudier une série de textes littéraires (de Pierre Corneille, Jean Racine, Molière, Mme de Lafayette, La Rochefoucauld, Pascal, La Bruyère, Voltaire, Montesquieu, Denis Diderot, Marivaux, Laclos etc.). On étudiera le développement du champ littéraire </w:t>
            </w:r>
            <w:proofErr w:type="gramStart"/>
            <w:r w:rsidRPr="006849D6">
              <w:rPr>
                <w:rFonts w:ascii="Arial" w:hAnsi="Arial" w:cs="Arial"/>
              </w:rPr>
              <w:t>aux dix-septième</w:t>
            </w:r>
            <w:proofErr w:type="gramEnd"/>
            <w:r w:rsidRPr="006849D6">
              <w:rPr>
                <w:rFonts w:ascii="Arial" w:hAnsi="Arial" w:cs="Arial"/>
              </w:rPr>
              <w:t xml:space="preserve"> et dix-huitième siècles, l'établissement du répertoire théâtral français et des politiques culturelles dans le choix et la diffusion des </w:t>
            </w:r>
            <w:proofErr w:type="spellStart"/>
            <w:r w:rsidRPr="006849D6">
              <w:rPr>
                <w:rFonts w:ascii="Arial" w:hAnsi="Arial" w:cs="Arial"/>
              </w:rPr>
              <w:t>oeuvres</w:t>
            </w:r>
            <w:proofErr w:type="spellEnd"/>
            <w:r w:rsidRPr="006849D6">
              <w:rPr>
                <w:rFonts w:ascii="Arial" w:hAnsi="Arial" w:cs="Arial"/>
              </w:rPr>
              <w:t xml:space="preserve"> dites classiques. Chaque texte littéraire en tant qu’</w:t>
            </w:r>
            <w:proofErr w:type="spellStart"/>
            <w:r w:rsidRPr="006849D6">
              <w:rPr>
                <w:rFonts w:ascii="Arial" w:hAnsi="Arial" w:cs="Arial"/>
              </w:rPr>
              <w:t>oeuvre</w:t>
            </w:r>
            <w:proofErr w:type="spellEnd"/>
            <w:r w:rsidRPr="006849D6">
              <w:rPr>
                <w:rFonts w:ascii="Arial" w:hAnsi="Arial" w:cs="Arial"/>
              </w:rPr>
              <w:t xml:space="preserve"> d’art et le reflet de la culture qui le produit, conduira à une meilleure connaissance de la langue, de la culture, de l’histoire et de la société françaises. Ce cours reposera autant sur les exposés du professeur que sur ceux des </w:t>
            </w:r>
            <w:r w:rsidRPr="006849D6">
              <w:rPr>
                <w:rFonts w:ascii="Arial" w:hAnsi="Arial" w:cs="Arial"/>
              </w:rPr>
              <w:lastRenderedPageBreak/>
              <w:t>étudiants ainsi que sur des ateliers de discussions en classe. La participation des étudiants est donc vivement encouragée.</w:t>
            </w:r>
          </w:p>
        </w:tc>
      </w:tr>
      <w:tr w:rsidR="00025E57" w:rsidRPr="006849D6" w:rsidTr="00F523BA">
        <w:tc>
          <w:tcPr>
            <w:tcW w:w="2539" w:type="dxa"/>
          </w:tcPr>
          <w:p w:rsidR="00025E57" w:rsidRPr="006849D6" w:rsidRDefault="00025E57" w:rsidP="00F523BA">
            <w:pPr>
              <w:spacing w:line="360" w:lineRule="auto"/>
              <w:rPr>
                <w:rFonts w:ascii="Arial" w:eastAsiaTheme="minorEastAsia" w:hAnsi="Arial" w:cs="Arial"/>
                <w:b/>
                <w:bCs/>
                <w:kern w:val="24"/>
              </w:rPr>
            </w:pPr>
            <w:r w:rsidRPr="006849D6">
              <w:rPr>
                <w:rFonts w:ascii="Arial" w:eastAsiaTheme="minorEastAsia" w:hAnsi="Arial" w:cs="Arial"/>
                <w:b/>
                <w:bCs/>
                <w:kern w:val="24"/>
              </w:rPr>
              <w:lastRenderedPageBreak/>
              <w:t>Modalités de contrôle des connaissances</w:t>
            </w:r>
          </w:p>
        </w:tc>
        <w:tc>
          <w:tcPr>
            <w:tcW w:w="6523" w:type="dxa"/>
          </w:tcPr>
          <w:p w:rsidR="00025E57" w:rsidRPr="006849D6" w:rsidRDefault="00025E57" w:rsidP="00F523BA">
            <w:pPr>
              <w:spacing w:line="360" w:lineRule="auto"/>
              <w:rPr>
                <w:rFonts w:ascii="Arial" w:eastAsiaTheme="minorEastAsia" w:hAnsi="Arial" w:cs="Arial"/>
                <w:b/>
                <w:bCs/>
                <w:i/>
                <w:iCs/>
                <w:kern w:val="24"/>
              </w:rPr>
            </w:pPr>
            <w:r w:rsidRPr="006849D6">
              <w:rPr>
                <w:rFonts w:ascii="Arial" w:eastAsiaTheme="minorEastAsia" w:hAnsi="Arial" w:cs="Arial"/>
                <w:b/>
                <w:bCs/>
                <w:i/>
                <w:iCs/>
                <w:kern w:val="24"/>
              </w:rPr>
              <w:t xml:space="preserve">Examen écrit. </w:t>
            </w:r>
          </w:p>
        </w:tc>
      </w:tr>
      <w:tr w:rsidR="00025E57" w:rsidRPr="006849D6" w:rsidTr="00F523BA">
        <w:tc>
          <w:tcPr>
            <w:tcW w:w="2539" w:type="dxa"/>
          </w:tcPr>
          <w:p w:rsidR="00025E57" w:rsidRPr="006849D6" w:rsidRDefault="00025E57" w:rsidP="00F523BA">
            <w:pPr>
              <w:spacing w:line="360" w:lineRule="auto"/>
              <w:rPr>
                <w:rFonts w:ascii="Arial" w:eastAsiaTheme="minorEastAsia" w:hAnsi="Arial" w:cs="Arial"/>
                <w:b/>
                <w:bCs/>
                <w:kern w:val="24"/>
              </w:rPr>
            </w:pPr>
            <w:r w:rsidRPr="006849D6">
              <w:rPr>
                <w:rFonts w:ascii="Arial" w:eastAsiaTheme="minorEastAsia" w:hAnsi="Arial" w:cs="Arial"/>
                <w:b/>
                <w:bCs/>
                <w:kern w:val="24"/>
              </w:rPr>
              <w:t>Bibliographie</w:t>
            </w:r>
          </w:p>
        </w:tc>
        <w:tc>
          <w:tcPr>
            <w:tcW w:w="6523" w:type="dxa"/>
          </w:tcPr>
          <w:p w:rsidR="00025E57" w:rsidRPr="006849D6" w:rsidRDefault="00025E57" w:rsidP="00F523BA">
            <w:pPr>
              <w:pStyle w:val="Default"/>
              <w:jc w:val="both"/>
              <w:rPr>
                <w:rFonts w:ascii="Arial" w:hAnsi="Arial" w:cs="Arial"/>
                <w:sz w:val="22"/>
                <w:szCs w:val="22"/>
                <w:lang w:val="fr-FR"/>
              </w:rPr>
            </w:pPr>
            <w:proofErr w:type="spellStart"/>
            <w:r w:rsidRPr="006849D6">
              <w:rPr>
                <w:rFonts w:ascii="Arial" w:hAnsi="Arial" w:cs="Arial"/>
                <w:sz w:val="22"/>
                <w:szCs w:val="22"/>
                <w:lang w:val="fr-FR"/>
              </w:rPr>
              <w:t>Gruffat</w:t>
            </w:r>
            <w:proofErr w:type="spellEnd"/>
            <w:r w:rsidRPr="006849D6">
              <w:rPr>
                <w:rFonts w:ascii="Arial" w:hAnsi="Arial" w:cs="Arial"/>
                <w:sz w:val="22"/>
                <w:szCs w:val="22"/>
                <w:lang w:val="fr-FR"/>
              </w:rPr>
              <w:t xml:space="preserve">, S., </w:t>
            </w:r>
            <w:r w:rsidRPr="006849D6">
              <w:rPr>
                <w:rFonts w:ascii="Arial" w:hAnsi="Arial" w:cs="Arial"/>
                <w:i/>
                <w:iCs/>
                <w:sz w:val="22"/>
                <w:szCs w:val="22"/>
                <w:lang w:val="fr-FR"/>
              </w:rPr>
              <w:t>Le théâtre français du XVIIe siècle</w:t>
            </w:r>
            <w:r w:rsidRPr="006849D6">
              <w:rPr>
                <w:rFonts w:ascii="Arial" w:hAnsi="Arial" w:cs="Arial"/>
                <w:sz w:val="22"/>
                <w:szCs w:val="22"/>
                <w:lang w:val="fr-FR"/>
              </w:rPr>
              <w:t xml:space="preserve">, Ellipses, Paris, 2003. </w:t>
            </w:r>
          </w:p>
          <w:p w:rsidR="00025E57" w:rsidRPr="006849D6" w:rsidRDefault="00025E57" w:rsidP="00F523BA">
            <w:pPr>
              <w:pStyle w:val="Default"/>
              <w:jc w:val="both"/>
              <w:rPr>
                <w:rFonts w:ascii="Arial" w:hAnsi="Arial" w:cs="Arial"/>
                <w:sz w:val="22"/>
                <w:szCs w:val="22"/>
                <w:lang w:val="fr-FR"/>
              </w:rPr>
            </w:pPr>
            <w:proofErr w:type="spellStart"/>
            <w:r w:rsidRPr="006849D6">
              <w:rPr>
                <w:rFonts w:ascii="Arial" w:hAnsi="Arial" w:cs="Arial"/>
                <w:sz w:val="22"/>
                <w:szCs w:val="22"/>
                <w:lang w:val="fr-FR"/>
              </w:rPr>
              <w:t>Guichemerre</w:t>
            </w:r>
            <w:proofErr w:type="spellEnd"/>
            <w:r w:rsidRPr="006849D6">
              <w:rPr>
                <w:rFonts w:ascii="Arial" w:hAnsi="Arial" w:cs="Arial"/>
                <w:sz w:val="22"/>
                <w:szCs w:val="22"/>
                <w:lang w:val="fr-FR"/>
              </w:rPr>
              <w:t xml:space="preserve">, R., </w:t>
            </w:r>
            <w:r w:rsidRPr="006849D6">
              <w:rPr>
                <w:rFonts w:ascii="Arial" w:hAnsi="Arial" w:cs="Arial"/>
                <w:i/>
                <w:iCs/>
                <w:sz w:val="22"/>
                <w:szCs w:val="22"/>
                <w:lang w:val="fr-FR"/>
              </w:rPr>
              <w:t>La comédie classique en France</w:t>
            </w:r>
            <w:r w:rsidRPr="006849D6">
              <w:rPr>
                <w:rFonts w:ascii="Arial" w:hAnsi="Arial" w:cs="Arial"/>
                <w:sz w:val="22"/>
                <w:szCs w:val="22"/>
                <w:lang w:val="fr-FR"/>
              </w:rPr>
              <w:t xml:space="preserve">, P.U.F., Paris, 1973. </w:t>
            </w:r>
          </w:p>
          <w:p w:rsidR="00025E57" w:rsidRPr="006849D6" w:rsidRDefault="00025E57" w:rsidP="00F523BA">
            <w:pPr>
              <w:pStyle w:val="Default"/>
              <w:jc w:val="both"/>
              <w:rPr>
                <w:rFonts w:ascii="Arial" w:hAnsi="Arial" w:cs="Arial"/>
                <w:sz w:val="22"/>
                <w:szCs w:val="22"/>
                <w:lang w:val="fr-FR"/>
              </w:rPr>
            </w:pPr>
            <w:r w:rsidRPr="006849D6">
              <w:rPr>
                <w:rFonts w:ascii="Arial" w:hAnsi="Arial" w:cs="Arial"/>
                <w:sz w:val="22"/>
                <w:szCs w:val="22"/>
                <w:lang w:val="fr-FR"/>
              </w:rPr>
              <w:t xml:space="preserve">Lagarde, A., Michard, L, </w:t>
            </w:r>
            <w:r w:rsidRPr="006849D6">
              <w:rPr>
                <w:rFonts w:ascii="Arial" w:hAnsi="Arial" w:cs="Arial"/>
                <w:i/>
                <w:iCs/>
                <w:sz w:val="22"/>
                <w:szCs w:val="22"/>
                <w:lang w:val="fr-FR"/>
              </w:rPr>
              <w:t>Le XVIIe siècle : Anthologie et histoire littéraire</w:t>
            </w:r>
            <w:r w:rsidRPr="006849D6">
              <w:rPr>
                <w:rFonts w:ascii="Arial" w:hAnsi="Arial" w:cs="Arial"/>
                <w:sz w:val="22"/>
                <w:szCs w:val="22"/>
                <w:lang w:val="fr-FR"/>
              </w:rPr>
              <w:t xml:space="preserve">, Bordas, Paris, 1981. </w:t>
            </w:r>
          </w:p>
          <w:p w:rsidR="00025E57" w:rsidRPr="006849D6" w:rsidRDefault="00025E57" w:rsidP="00F523BA">
            <w:pPr>
              <w:pStyle w:val="Default"/>
              <w:jc w:val="both"/>
              <w:rPr>
                <w:rFonts w:ascii="Arial" w:hAnsi="Arial" w:cs="Arial"/>
                <w:sz w:val="22"/>
                <w:szCs w:val="22"/>
                <w:lang w:val="fr-FR"/>
              </w:rPr>
            </w:pPr>
            <w:proofErr w:type="spellStart"/>
            <w:r w:rsidRPr="006849D6">
              <w:rPr>
                <w:rFonts w:ascii="Arial" w:hAnsi="Arial" w:cs="Arial"/>
                <w:sz w:val="22"/>
                <w:szCs w:val="22"/>
                <w:lang w:val="fr-FR"/>
              </w:rPr>
              <w:t>Rohou</w:t>
            </w:r>
            <w:proofErr w:type="spellEnd"/>
            <w:r w:rsidRPr="006849D6">
              <w:rPr>
                <w:rFonts w:ascii="Arial" w:hAnsi="Arial" w:cs="Arial"/>
                <w:sz w:val="22"/>
                <w:szCs w:val="22"/>
                <w:lang w:val="fr-FR"/>
              </w:rPr>
              <w:t xml:space="preserve">, J., </w:t>
            </w:r>
            <w:r w:rsidRPr="006849D6">
              <w:rPr>
                <w:rFonts w:ascii="Arial" w:hAnsi="Arial" w:cs="Arial"/>
                <w:i/>
                <w:iCs/>
                <w:sz w:val="22"/>
                <w:szCs w:val="22"/>
                <w:lang w:val="fr-FR"/>
              </w:rPr>
              <w:t>Histoire de la littérature française au XVIIe siècle</w:t>
            </w:r>
            <w:r w:rsidRPr="006849D6">
              <w:rPr>
                <w:rFonts w:ascii="Arial" w:hAnsi="Arial" w:cs="Arial"/>
                <w:sz w:val="22"/>
                <w:szCs w:val="22"/>
                <w:lang w:val="fr-FR"/>
              </w:rPr>
              <w:t xml:space="preserve">, Presses Universitaires de Rennes, 2015. </w:t>
            </w:r>
          </w:p>
          <w:p w:rsidR="00025E57" w:rsidRPr="006849D6" w:rsidRDefault="00025E57" w:rsidP="00F523BA">
            <w:pPr>
              <w:pStyle w:val="Default"/>
              <w:jc w:val="both"/>
              <w:rPr>
                <w:rFonts w:ascii="Arial" w:hAnsi="Arial" w:cs="Arial"/>
                <w:sz w:val="22"/>
                <w:szCs w:val="22"/>
                <w:lang w:val="fr-FR"/>
              </w:rPr>
            </w:pPr>
            <w:r w:rsidRPr="006849D6">
              <w:rPr>
                <w:rFonts w:ascii="Arial" w:hAnsi="Arial" w:cs="Arial"/>
                <w:sz w:val="22"/>
                <w:szCs w:val="22"/>
                <w:lang w:val="fr-FR"/>
              </w:rPr>
              <w:t xml:space="preserve">Rousset, J., </w:t>
            </w:r>
            <w:r w:rsidRPr="006849D6">
              <w:rPr>
                <w:rFonts w:ascii="Arial" w:hAnsi="Arial" w:cs="Arial"/>
                <w:i/>
                <w:iCs/>
                <w:sz w:val="22"/>
                <w:szCs w:val="22"/>
                <w:lang w:val="fr-FR"/>
              </w:rPr>
              <w:t>La littérature de l’âge baroque en France. Circé et paon</w:t>
            </w:r>
            <w:r w:rsidRPr="006849D6">
              <w:rPr>
                <w:rFonts w:ascii="Arial" w:hAnsi="Arial" w:cs="Arial"/>
                <w:sz w:val="22"/>
                <w:szCs w:val="22"/>
                <w:lang w:val="fr-FR"/>
              </w:rPr>
              <w:t xml:space="preserve">, Jose Corti, 1960. </w:t>
            </w:r>
          </w:p>
          <w:p w:rsidR="00025E57" w:rsidRPr="006849D6" w:rsidRDefault="00025E57" w:rsidP="00F523BA">
            <w:pPr>
              <w:pStyle w:val="Default"/>
              <w:jc w:val="both"/>
              <w:rPr>
                <w:rFonts w:ascii="Arial" w:hAnsi="Arial" w:cs="Arial"/>
                <w:sz w:val="22"/>
                <w:szCs w:val="22"/>
                <w:lang w:val="fr-FR"/>
              </w:rPr>
            </w:pPr>
            <w:r w:rsidRPr="006849D6">
              <w:rPr>
                <w:rFonts w:ascii="Arial" w:hAnsi="Arial" w:cs="Arial"/>
                <w:sz w:val="22"/>
                <w:szCs w:val="22"/>
                <w:lang w:val="fr-FR"/>
              </w:rPr>
              <w:t xml:space="preserve">Sabatier, R., </w:t>
            </w:r>
            <w:r w:rsidRPr="006849D6">
              <w:rPr>
                <w:rFonts w:ascii="Arial" w:hAnsi="Arial" w:cs="Arial"/>
                <w:i/>
                <w:iCs/>
                <w:sz w:val="22"/>
                <w:szCs w:val="22"/>
                <w:lang w:val="fr-FR"/>
              </w:rPr>
              <w:t>Histoire de la poésie française, vol. 3, La poésie au XVIIe siècle</w:t>
            </w:r>
            <w:r w:rsidRPr="006849D6">
              <w:rPr>
                <w:rFonts w:ascii="Arial" w:hAnsi="Arial" w:cs="Arial"/>
                <w:sz w:val="22"/>
                <w:szCs w:val="22"/>
                <w:lang w:val="fr-FR"/>
              </w:rPr>
              <w:t xml:space="preserve">, Albin Michel, Paris, 1975. </w:t>
            </w:r>
          </w:p>
          <w:p w:rsidR="00025E57" w:rsidRPr="006849D6" w:rsidRDefault="00025E57" w:rsidP="00F523BA">
            <w:pPr>
              <w:spacing w:line="360" w:lineRule="auto"/>
              <w:jc w:val="both"/>
              <w:rPr>
                <w:rFonts w:ascii="Arial" w:eastAsiaTheme="minorEastAsia" w:hAnsi="Arial" w:cs="Arial"/>
                <w:b/>
                <w:bCs/>
                <w:kern w:val="24"/>
              </w:rPr>
            </w:pPr>
            <w:proofErr w:type="spellStart"/>
            <w:r w:rsidRPr="006849D6">
              <w:rPr>
                <w:rFonts w:ascii="Arial" w:hAnsi="Arial" w:cs="Arial"/>
              </w:rPr>
              <w:t>Tournand</w:t>
            </w:r>
            <w:proofErr w:type="spellEnd"/>
            <w:r w:rsidRPr="006849D6">
              <w:rPr>
                <w:rFonts w:ascii="Arial" w:hAnsi="Arial" w:cs="Arial"/>
              </w:rPr>
              <w:t xml:space="preserve">, J.-C., </w:t>
            </w:r>
            <w:r w:rsidRPr="006849D6">
              <w:rPr>
                <w:rFonts w:ascii="Arial" w:hAnsi="Arial" w:cs="Arial"/>
                <w:i/>
                <w:iCs/>
              </w:rPr>
              <w:t>Introduction à la vie littéraire du XVIIe siècle</w:t>
            </w:r>
            <w:r w:rsidRPr="006849D6">
              <w:rPr>
                <w:rFonts w:ascii="Arial" w:hAnsi="Arial" w:cs="Arial"/>
              </w:rPr>
              <w:t>, Bordas, Paris, 1970.</w:t>
            </w:r>
          </w:p>
        </w:tc>
      </w:tr>
      <w:tr w:rsidR="00025E57" w:rsidRPr="006849D6" w:rsidTr="00F523BA">
        <w:tc>
          <w:tcPr>
            <w:tcW w:w="2539" w:type="dxa"/>
          </w:tcPr>
          <w:p w:rsidR="00025E57" w:rsidRPr="006849D6" w:rsidRDefault="00025E57" w:rsidP="00F523BA">
            <w:pPr>
              <w:spacing w:line="360" w:lineRule="auto"/>
              <w:rPr>
                <w:rFonts w:ascii="Arial" w:eastAsiaTheme="minorEastAsia" w:hAnsi="Arial" w:cs="Arial"/>
                <w:b/>
                <w:bCs/>
                <w:kern w:val="24"/>
              </w:rPr>
            </w:pPr>
            <w:r w:rsidRPr="006849D6">
              <w:rPr>
                <w:rFonts w:ascii="Arial" w:eastAsiaTheme="minorEastAsia" w:hAnsi="Arial" w:cs="Arial"/>
                <w:b/>
                <w:bCs/>
                <w:kern w:val="24"/>
              </w:rPr>
              <w:t>Responsable (nom et adresse mail)</w:t>
            </w:r>
          </w:p>
        </w:tc>
        <w:tc>
          <w:tcPr>
            <w:tcW w:w="6523" w:type="dxa"/>
          </w:tcPr>
          <w:p w:rsidR="00025E57" w:rsidRPr="006849D6" w:rsidRDefault="00025E57" w:rsidP="00F523BA">
            <w:pPr>
              <w:spacing w:line="360" w:lineRule="auto"/>
              <w:rPr>
                <w:rFonts w:ascii="Arial" w:eastAsiaTheme="minorEastAsia" w:hAnsi="Arial" w:cs="Arial"/>
                <w:b/>
                <w:bCs/>
                <w:kern w:val="24"/>
              </w:rPr>
            </w:pPr>
            <w:proofErr w:type="spellStart"/>
            <w:r w:rsidRPr="006849D6">
              <w:rPr>
                <w:rFonts w:ascii="Arial" w:eastAsiaTheme="minorEastAsia" w:hAnsi="Arial" w:cs="Arial"/>
                <w:kern w:val="24"/>
              </w:rPr>
              <w:t>Mirna</w:t>
            </w:r>
            <w:proofErr w:type="spellEnd"/>
            <w:r w:rsidRPr="006849D6">
              <w:rPr>
                <w:rFonts w:ascii="Arial" w:eastAsiaTheme="minorEastAsia" w:hAnsi="Arial" w:cs="Arial"/>
                <w:kern w:val="24"/>
              </w:rPr>
              <w:t xml:space="preserve"> </w:t>
            </w:r>
            <w:proofErr w:type="spellStart"/>
            <w:r w:rsidRPr="006849D6">
              <w:rPr>
                <w:rFonts w:ascii="Arial" w:eastAsiaTheme="minorEastAsia" w:hAnsi="Arial" w:cs="Arial"/>
                <w:kern w:val="24"/>
              </w:rPr>
              <w:t>Sindičić</w:t>
            </w:r>
            <w:proofErr w:type="spellEnd"/>
            <w:r w:rsidRPr="006849D6">
              <w:rPr>
                <w:rFonts w:ascii="Arial" w:eastAsiaTheme="minorEastAsia" w:hAnsi="Arial" w:cs="Arial"/>
                <w:kern w:val="24"/>
              </w:rPr>
              <w:t xml:space="preserve"> </w:t>
            </w:r>
            <w:proofErr w:type="spellStart"/>
            <w:r w:rsidRPr="006849D6">
              <w:rPr>
                <w:rFonts w:ascii="Arial" w:eastAsiaTheme="minorEastAsia" w:hAnsi="Arial" w:cs="Arial"/>
                <w:kern w:val="24"/>
              </w:rPr>
              <w:t>Sabljo</w:t>
            </w:r>
            <w:proofErr w:type="spellEnd"/>
            <w:r w:rsidRPr="006849D6">
              <w:rPr>
                <w:rFonts w:ascii="Arial" w:eastAsiaTheme="minorEastAsia" w:hAnsi="Arial" w:cs="Arial"/>
                <w:kern w:val="24"/>
              </w:rPr>
              <w:t>, msindici@unizd.hr</w:t>
            </w:r>
          </w:p>
        </w:tc>
      </w:tr>
    </w:tbl>
    <w:p w:rsidR="006F08AB" w:rsidRDefault="006F08AB">
      <w:bookmarkStart w:id="0" w:name="_GoBack"/>
      <w:bookmarkEnd w:id="0"/>
    </w:p>
    <w:sectPr w:rsidR="006F08A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57"/>
    <w:rsid w:val="00025E57"/>
    <w:rsid w:val="006F0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8C1A4-7B15-4FBF-BFC9-AB5ADBCD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E57"/>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5E5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5E57"/>
    <w:pPr>
      <w:autoSpaceDE w:val="0"/>
      <w:autoSpaceDN w:val="0"/>
      <w:adjustRightInd w:val="0"/>
      <w:spacing w:after="0" w:line="240" w:lineRule="auto"/>
    </w:pPr>
    <w:rPr>
      <w:rFonts w:ascii="Times New Roman" w:hAnsi="Times New Roman" w:cs="Times New Roman"/>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bvodanovic@unizd.hr</dc:creator>
  <cp:keywords/>
  <dc:description/>
  <cp:lastModifiedBy>bvodanovic@unizd.hr</cp:lastModifiedBy>
  <cp:revision>1</cp:revision>
  <dcterms:created xsi:type="dcterms:W3CDTF">2022-11-28T11:29:00Z</dcterms:created>
  <dcterms:modified xsi:type="dcterms:W3CDTF">2022-11-28T11:30:00Z</dcterms:modified>
</cp:coreProperties>
</file>