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751"/>
        <w:gridCol w:w="6311"/>
      </w:tblGrid>
      <w:tr w:rsidR="0024624A" w:rsidRPr="00095FFF" w:rsidTr="000611A5">
        <w:tc>
          <w:tcPr>
            <w:tcW w:w="9062" w:type="dxa"/>
            <w:gridSpan w:val="2"/>
            <w:shd w:val="clear" w:color="auto" w:fill="DEEAF6" w:themeFill="accent1" w:themeFillTint="33"/>
          </w:tcPr>
          <w:p w:rsidR="0024624A" w:rsidRPr="00095FFF" w:rsidRDefault="0024624A" w:rsidP="000611A5">
            <w:pPr>
              <w:spacing w:line="360" w:lineRule="auto"/>
              <w:jc w:val="center"/>
              <w:rPr>
                <w:rFonts w:ascii="Arial" w:eastAsiaTheme="minorEastAsia" w:hAnsi="Arial" w:cs="Arial"/>
                <w:b/>
                <w:bCs/>
                <w:kern w:val="24"/>
                <w:sz w:val="24"/>
                <w:szCs w:val="24"/>
              </w:rPr>
            </w:pPr>
            <w:bookmarkStart w:id="0" w:name="_GoBack"/>
            <w:r w:rsidRPr="00095FFF">
              <w:rPr>
                <w:rFonts w:ascii="Arial" w:hAnsi="Arial" w:cs="Arial"/>
                <w:b/>
                <w:bCs/>
                <w:sz w:val="24"/>
                <w:szCs w:val="24"/>
              </w:rPr>
              <w:t xml:space="preserve">INTRODUCTION A LA LINGUISTIQUE FRANCAISE </w:t>
            </w:r>
            <w:bookmarkEnd w:id="0"/>
          </w:p>
        </w:tc>
      </w:tr>
      <w:tr w:rsidR="0024624A" w:rsidRPr="00095FFF" w:rsidTr="000611A5">
        <w:tc>
          <w:tcPr>
            <w:tcW w:w="2405" w:type="dxa"/>
          </w:tcPr>
          <w:p w:rsidR="0024624A" w:rsidRPr="00095FFF" w:rsidRDefault="0024624A"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Semestre</w:t>
            </w:r>
          </w:p>
        </w:tc>
        <w:tc>
          <w:tcPr>
            <w:tcW w:w="6657" w:type="dxa"/>
          </w:tcPr>
          <w:p w:rsidR="0024624A" w:rsidRPr="00095FFF" w:rsidRDefault="0024624A"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2</w:t>
            </w:r>
          </w:p>
        </w:tc>
      </w:tr>
      <w:tr w:rsidR="0024624A" w:rsidRPr="00095FFF" w:rsidTr="000611A5">
        <w:tc>
          <w:tcPr>
            <w:tcW w:w="2405" w:type="dxa"/>
          </w:tcPr>
          <w:p w:rsidR="0024624A" w:rsidRPr="00095FFF" w:rsidRDefault="0024624A"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Durée (en heures hebdomadaires)</w:t>
            </w:r>
          </w:p>
        </w:tc>
        <w:tc>
          <w:tcPr>
            <w:tcW w:w="6657" w:type="dxa"/>
          </w:tcPr>
          <w:p w:rsidR="0024624A" w:rsidRPr="00095FFF" w:rsidRDefault="0024624A" w:rsidP="000611A5">
            <w:pPr>
              <w:spacing w:line="360" w:lineRule="auto"/>
              <w:rPr>
                <w:rFonts w:ascii="Arial" w:eastAsiaTheme="minorEastAsia" w:hAnsi="Arial" w:cs="Arial"/>
                <w:bCs/>
                <w:kern w:val="24"/>
                <w:sz w:val="24"/>
                <w:szCs w:val="24"/>
              </w:rPr>
            </w:pPr>
            <w:r w:rsidRPr="00095FFF">
              <w:rPr>
                <w:rFonts w:ascii="Arial" w:eastAsiaTheme="minorEastAsia" w:hAnsi="Arial" w:cs="Arial"/>
                <w:bCs/>
                <w:kern w:val="24"/>
                <w:sz w:val="24"/>
                <w:szCs w:val="24"/>
              </w:rPr>
              <w:t>2</w:t>
            </w:r>
          </w:p>
        </w:tc>
      </w:tr>
      <w:tr w:rsidR="0024624A" w:rsidRPr="00095FFF" w:rsidTr="000611A5">
        <w:tc>
          <w:tcPr>
            <w:tcW w:w="2405" w:type="dxa"/>
          </w:tcPr>
          <w:p w:rsidR="0024624A" w:rsidRPr="00095FFF" w:rsidRDefault="0024624A"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Objectifs</w:t>
            </w:r>
          </w:p>
        </w:tc>
        <w:tc>
          <w:tcPr>
            <w:tcW w:w="6657" w:type="dxa"/>
          </w:tcPr>
          <w:p w:rsidR="0024624A" w:rsidRPr="00095FFF" w:rsidRDefault="0024624A" w:rsidP="000611A5">
            <w:pPr>
              <w:shd w:val="clear" w:color="auto" w:fill="FFFFFF"/>
              <w:spacing w:before="100" w:beforeAutospacing="1" w:after="100" w:afterAutospacing="1"/>
              <w:rPr>
                <w:rFonts w:ascii="Arial" w:hAnsi="Arial" w:cs="Arial"/>
                <w:sz w:val="24"/>
                <w:szCs w:val="24"/>
              </w:rPr>
            </w:pPr>
            <w:r w:rsidRPr="00095FFF">
              <w:rPr>
                <w:rFonts w:ascii="Arial" w:hAnsi="Arial" w:cs="Arial"/>
                <w:sz w:val="24"/>
                <w:szCs w:val="24"/>
              </w:rPr>
              <w:t>1. Initier les apprenants aux sciences du langage à travers une présentation des concepts fondamentaux de la linguistique, de ses méthodes et ses applications                                                                                     2. acquérir des notions de base dans les principaux domaines de la linguistique fondamentale et appliquée                                                                       3. comprendre le fonctionnement du langage, dans son unité et sa diversité                                                                                                                             4. prendre conscience des idées reçues sur la langue, ainsi que des attitudes qui en découlent                                                                                             5. se sensibiliser à la complexité des langues naturelles                                              6. se familiariser avec les différents niveaux d’analyse linguistique</w:t>
            </w:r>
          </w:p>
        </w:tc>
      </w:tr>
      <w:tr w:rsidR="0024624A" w:rsidRPr="00095FFF" w:rsidTr="000611A5">
        <w:tc>
          <w:tcPr>
            <w:tcW w:w="2405" w:type="dxa"/>
          </w:tcPr>
          <w:p w:rsidR="0024624A" w:rsidRPr="00095FFF" w:rsidRDefault="0024624A"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Contenus enseignés/description des cours</w:t>
            </w:r>
          </w:p>
        </w:tc>
        <w:tc>
          <w:tcPr>
            <w:tcW w:w="6657" w:type="dxa"/>
          </w:tcPr>
          <w:p w:rsidR="0024624A" w:rsidRPr="00095FFF" w:rsidRDefault="0024624A" w:rsidP="000611A5">
            <w:pPr>
              <w:spacing w:line="360" w:lineRule="auto"/>
              <w:rPr>
                <w:rFonts w:ascii="Arial" w:eastAsiaTheme="minorEastAsia" w:hAnsi="Arial" w:cs="Arial"/>
                <w:bCs/>
                <w:kern w:val="24"/>
                <w:sz w:val="24"/>
                <w:szCs w:val="24"/>
              </w:rPr>
            </w:pPr>
            <w:r w:rsidRPr="00095FFF">
              <w:rPr>
                <w:rFonts w:ascii="Arial" w:hAnsi="Arial" w:cs="Arial"/>
                <w:sz w:val="24"/>
                <w:szCs w:val="24"/>
              </w:rPr>
              <w:t>Le but de ce cours est l’initiation à l’analyse linguistique en mettant l’emphase sur l’analyse descriptive (et non prescriptive). Ce cours est une introduction aux aspects théoriques et pratiques de la structure de la langue française. Le cours offre une introduction à la linguistique générale afin de mettre en place les concepts centraux de la langue, et du discours, et de faciliter l’usage de ces concepts dans l’analyse linguistique</w:t>
            </w:r>
          </w:p>
        </w:tc>
      </w:tr>
      <w:tr w:rsidR="0024624A" w:rsidRPr="00095FFF" w:rsidTr="000611A5">
        <w:tc>
          <w:tcPr>
            <w:tcW w:w="2405" w:type="dxa"/>
          </w:tcPr>
          <w:p w:rsidR="0024624A" w:rsidRPr="00095FFF" w:rsidRDefault="0024624A"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Modalités de contrôle des connaissances</w:t>
            </w:r>
          </w:p>
        </w:tc>
        <w:tc>
          <w:tcPr>
            <w:tcW w:w="6657" w:type="dxa"/>
          </w:tcPr>
          <w:p w:rsidR="0024624A" w:rsidRPr="00095FFF" w:rsidRDefault="0024624A" w:rsidP="000611A5">
            <w:pPr>
              <w:spacing w:line="360" w:lineRule="auto"/>
              <w:rPr>
                <w:rFonts w:ascii="Arial" w:eastAsiaTheme="minorEastAsia" w:hAnsi="Arial" w:cs="Arial"/>
                <w:kern w:val="24"/>
                <w:sz w:val="24"/>
                <w:szCs w:val="24"/>
              </w:rPr>
            </w:pPr>
            <w:r w:rsidRPr="00095FFF">
              <w:rPr>
                <w:rFonts w:ascii="Arial" w:eastAsiaTheme="minorEastAsia" w:hAnsi="Arial" w:cs="Arial"/>
                <w:kern w:val="24"/>
                <w:sz w:val="24"/>
                <w:szCs w:val="24"/>
              </w:rPr>
              <w:t xml:space="preserve">examen </w:t>
            </w:r>
            <w:r w:rsidRPr="00095FFF">
              <w:rPr>
                <w:rFonts w:ascii="Arial" w:hAnsi="Arial" w:cs="Arial"/>
                <w:sz w:val="24"/>
                <w:szCs w:val="24"/>
              </w:rPr>
              <w:t>é</w:t>
            </w:r>
            <w:r w:rsidRPr="00095FFF">
              <w:rPr>
                <w:rFonts w:ascii="Arial" w:eastAsiaTheme="minorEastAsia" w:hAnsi="Arial" w:cs="Arial"/>
                <w:kern w:val="24"/>
                <w:sz w:val="24"/>
                <w:szCs w:val="24"/>
              </w:rPr>
              <w:t>crit</w:t>
            </w:r>
          </w:p>
        </w:tc>
      </w:tr>
      <w:tr w:rsidR="0024624A" w:rsidRPr="0024624A" w:rsidTr="000611A5">
        <w:tc>
          <w:tcPr>
            <w:tcW w:w="2405" w:type="dxa"/>
          </w:tcPr>
          <w:p w:rsidR="0024624A" w:rsidRPr="00095FFF" w:rsidRDefault="0024624A"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Bibliographie</w:t>
            </w:r>
          </w:p>
        </w:tc>
        <w:tc>
          <w:tcPr>
            <w:tcW w:w="6657" w:type="dxa"/>
          </w:tcPr>
          <w:p w:rsidR="0024624A" w:rsidRPr="00095FFF" w:rsidRDefault="0024624A" w:rsidP="000611A5">
            <w:pPr>
              <w:rPr>
                <w:rFonts w:ascii="Arial" w:hAnsi="Arial" w:cs="Arial"/>
                <w:sz w:val="24"/>
                <w:szCs w:val="24"/>
                <w:lang w:val="pl-PL"/>
              </w:rPr>
            </w:pPr>
            <w:r w:rsidRPr="00095FFF">
              <w:rPr>
                <w:rFonts w:ascii="Arial" w:hAnsi="Arial" w:cs="Arial"/>
                <w:bCs/>
                <w:sz w:val="24"/>
                <w:szCs w:val="24"/>
                <w:lang w:val="pl-PL"/>
              </w:rPr>
              <w:t xml:space="preserve">- Ćosić, V. </w:t>
            </w:r>
            <w:r w:rsidRPr="00095FFF">
              <w:rPr>
                <w:rFonts w:ascii="Arial" w:hAnsi="Arial" w:cs="Arial"/>
                <w:bCs/>
                <w:sz w:val="24"/>
                <w:szCs w:val="24"/>
              </w:rPr>
              <w:t xml:space="preserve">1991. </w:t>
            </w:r>
            <w:r w:rsidRPr="00095FFF">
              <w:rPr>
                <w:rFonts w:ascii="Arial" w:hAnsi="Arial" w:cs="Arial"/>
                <w:i/>
                <w:sz w:val="24"/>
                <w:szCs w:val="24"/>
                <w:lang w:val="pl-PL"/>
              </w:rPr>
              <w:t>Uvod u studij francuskog jezika</w:t>
            </w:r>
            <w:r w:rsidRPr="00095FFF">
              <w:rPr>
                <w:rFonts w:ascii="Arial" w:hAnsi="Arial" w:cs="Arial"/>
                <w:sz w:val="24"/>
                <w:szCs w:val="24"/>
                <w:lang w:val="pl-PL"/>
              </w:rPr>
              <w:t>, Zadarska tiskara, Zadar. (p. 13-52)</w:t>
            </w:r>
          </w:p>
          <w:p w:rsidR="0024624A" w:rsidRPr="00095FFF" w:rsidRDefault="0024624A" w:rsidP="000611A5">
            <w:pPr>
              <w:rPr>
                <w:rFonts w:ascii="Arial" w:hAnsi="Arial" w:cs="Arial"/>
                <w:sz w:val="24"/>
                <w:szCs w:val="24"/>
                <w:lang w:val="pl-PL"/>
              </w:rPr>
            </w:pPr>
            <w:r w:rsidRPr="00095FFF">
              <w:rPr>
                <w:rFonts w:ascii="Arial" w:hAnsi="Arial" w:cs="Arial"/>
                <w:sz w:val="24"/>
                <w:szCs w:val="24"/>
                <w:lang w:val="pl-PL"/>
              </w:rPr>
              <w:t xml:space="preserve">- Glovacki-Bernardi Z. et al. 2001. </w:t>
            </w:r>
            <w:r w:rsidRPr="00095FFF">
              <w:rPr>
                <w:rFonts w:ascii="Arial" w:hAnsi="Arial" w:cs="Arial"/>
                <w:i/>
                <w:sz w:val="24"/>
                <w:szCs w:val="24"/>
                <w:lang w:val="pl-PL"/>
              </w:rPr>
              <w:t>Uvod u lingvistiku</w:t>
            </w:r>
            <w:r w:rsidRPr="00095FFF">
              <w:rPr>
                <w:rFonts w:ascii="Arial" w:hAnsi="Arial" w:cs="Arial"/>
                <w:sz w:val="24"/>
                <w:szCs w:val="24"/>
                <w:lang w:val="pl-PL"/>
              </w:rPr>
              <w:t>, Školska knjiga, Zagreb. (p. 9-155)</w:t>
            </w:r>
          </w:p>
          <w:p w:rsidR="0024624A" w:rsidRPr="00095FFF" w:rsidRDefault="0024624A" w:rsidP="000611A5">
            <w:pPr>
              <w:rPr>
                <w:rFonts w:ascii="Arial" w:hAnsi="Arial" w:cs="Arial"/>
                <w:sz w:val="24"/>
                <w:szCs w:val="24"/>
                <w:lang w:val="en-US"/>
              </w:rPr>
            </w:pPr>
            <w:r w:rsidRPr="00095FFF">
              <w:rPr>
                <w:rFonts w:ascii="Arial" w:hAnsi="Arial" w:cs="Arial"/>
                <w:sz w:val="24"/>
                <w:szCs w:val="24"/>
                <w:lang w:val="pl-PL"/>
              </w:rPr>
              <w:t xml:space="preserve">- De Saussure, F. 2000. </w:t>
            </w:r>
            <w:r w:rsidRPr="00095FFF">
              <w:rPr>
                <w:rFonts w:ascii="Arial" w:hAnsi="Arial" w:cs="Arial"/>
                <w:i/>
                <w:sz w:val="24"/>
                <w:szCs w:val="24"/>
                <w:lang w:val="pl-PL"/>
              </w:rPr>
              <w:t>Tečaj opće lingvistike</w:t>
            </w:r>
            <w:r w:rsidRPr="00095FFF">
              <w:rPr>
                <w:rFonts w:ascii="Arial" w:hAnsi="Arial" w:cs="Arial"/>
                <w:sz w:val="24"/>
                <w:szCs w:val="24"/>
                <w:lang w:val="pl-PL"/>
              </w:rPr>
              <w:t xml:space="preserve">, ArTresor naklada i Institut za hrvatski jezik i jezikoslovlje, Zagreb. </w:t>
            </w:r>
            <w:r w:rsidRPr="00095FFF">
              <w:rPr>
                <w:rFonts w:ascii="Arial" w:hAnsi="Arial" w:cs="Arial"/>
                <w:sz w:val="24"/>
                <w:szCs w:val="24"/>
                <w:lang w:val="en-US"/>
              </w:rPr>
              <w:t>(p. 45-86, 121-166)</w:t>
            </w:r>
          </w:p>
          <w:p w:rsidR="0024624A" w:rsidRPr="00095FFF" w:rsidRDefault="0024624A" w:rsidP="000611A5">
            <w:pPr>
              <w:tabs>
                <w:tab w:val="left" w:pos="1218"/>
              </w:tabs>
              <w:spacing w:before="20" w:after="20"/>
              <w:rPr>
                <w:rFonts w:ascii="Arial" w:hAnsi="Arial" w:cs="Arial"/>
                <w:sz w:val="24"/>
                <w:szCs w:val="24"/>
                <w:lang w:val="en-US"/>
              </w:rPr>
            </w:pPr>
            <w:r w:rsidRPr="00095FFF">
              <w:rPr>
                <w:rFonts w:ascii="Arial" w:hAnsi="Arial" w:cs="Arial"/>
                <w:sz w:val="24"/>
                <w:szCs w:val="24"/>
                <w:lang w:val="en-US"/>
              </w:rPr>
              <w:lastRenderedPageBreak/>
              <w:t xml:space="preserve">- Martinet, A. 1980. </w:t>
            </w:r>
            <w:proofErr w:type="spellStart"/>
            <w:r w:rsidRPr="00095FFF">
              <w:rPr>
                <w:rFonts w:ascii="Arial" w:hAnsi="Arial" w:cs="Arial"/>
                <w:i/>
                <w:sz w:val="24"/>
                <w:szCs w:val="24"/>
                <w:lang w:val="en-US"/>
              </w:rPr>
              <w:t>Osnove</w:t>
            </w:r>
            <w:proofErr w:type="spellEnd"/>
            <w:r w:rsidRPr="00095FFF">
              <w:rPr>
                <w:rFonts w:ascii="Arial" w:hAnsi="Arial" w:cs="Arial"/>
                <w:i/>
                <w:sz w:val="24"/>
                <w:szCs w:val="24"/>
                <w:lang w:val="en-US"/>
              </w:rPr>
              <w:t xml:space="preserve"> </w:t>
            </w:r>
            <w:proofErr w:type="spellStart"/>
            <w:r w:rsidRPr="00095FFF">
              <w:rPr>
                <w:rFonts w:ascii="Arial" w:hAnsi="Arial" w:cs="Arial"/>
                <w:i/>
                <w:sz w:val="24"/>
                <w:szCs w:val="24"/>
                <w:lang w:val="en-US"/>
              </w:rPr>
              <w:t>opće</w:t>
            </w:r>
            <w:proofErr w:type="spellEnd"/>
            <w:r w:rsidRPr="00095FFF">
              <w:rPr>
                <w:rFonts w:ascii="Arial" w:hAnsi="Arial" w:cs="Arial"/>
                <w:i/>
                <w:sz w:val="24"/>
                <w:szCs w:val="24"/>
                <w:lang w:val="en-US"/>
              </w:rPr>
              <w:t xml:space="preserve"> </w:t>
            </w:r>
            <w:proofErr w:type="spellStart"/>
            <w:r w:rsidRPr="00095FFF">
              <w:rPr>
                <w:rFonts w:ascii="Arial" w:hAnsi="Arial" w:cs="Arial"/>
                <w:i/>
                <w:sz w:val="24"/>
                <w:szCs w:val="24"/>
                <w:lang w:val="en-US"/>
              </w:rPr>
              <w:t>lingvistike</w:t>
            </w:r>
            <w:proofErr w:type="spellEnd"/>
            <w:r w:rsidRPr="00095FFF">
              <w:rPr>
                <w:rFonts w:ascii="Arial" w:hAnsi="Arial" w:cs="Arial"/>
                <w:sz w:val="24"/>
                <w:szCs w:val="24"/>
                <w:lang w:val="en-US"/>
              </w:rPr>
              <w:t>, GZH, Zagreb. (1-23),</w:t>
            </w:r>
          </w:p>
          <w:p w:rsidR="0024624A" w:rsidRPr="0024624A" w:rsidRDefault="0024624A" w:rsidP="000611A5">
            <w:pPr>
              <w:tabs>
                <w:tab w:val="left" w:pos="1218"/>
              </w:tabs>
              <w:spacing w:before="20" w:after="20"/>
              <w:rPr>
                <w:rFonts w:ascii="Arial" w:hAnsi="Arial" w:cs="Arial"/>
                <w:sz w:val="24"/>
                <w:szCs w:val="24"/>
                <w:lang w:val="en-US"/>
              </w:rPr>
            </w:pPr>
            <w:r w:rsidRPr="00095FFF">
              <w:rPr>
                <w:rFonts w:ascii="Arial" w:hAnsi="Arial" w:cs="Arial"/>
                <w:sz w:val="24"/>
                <w:szCs w:val="24"/>
                <w:lang w:val="en-US"/>
              </w:rPr>
              <w:t xml:space="preserve">- </w:t>
            </w:r>
            <w:proofErr w:type="spellStart"/>
            <w:r w:rsidRPr="00095FFF">
              <w:rPr>
                <w:rFonts w:ascii="Arial" w:hAnsi="Arial" w:cs="Arial"/>
                <w:sz w:val="24"/>
                <w:szCs w:val="24"/>
                <w:lang w:val="en-US"/>
              </w:rPr>
              <w:t>Škiljan</w:t>
            </w:r>
            <w:proofErr w:type="spellEnd"/>
            <w:r w:rsidRPr="00095FFF">
              <w:rPr>
                <w:rFonts w:ascii="Arial" w:hAnsi="Arial" w:cs="Arial"/>
                <w:sz w:val="24"/>
                <w:szCs w:val="24"/>
                <w:lang w:val="en-US"/>
              </w:rPr>
              <w:t xml:space="preserve">, D. 1976. </w:t>
            </w:r>
            <w:r w:rsidRPr="0024624A">
              <w:rPr>
                <w:rFonts w:ascii="Arial" w:hAnsi="Arial" w:cs="Arial"/>
                <w:i/>
                <w:sz w:val="24"/>
                <w:szCs w:val="24"/>
                <w:lang w:val="en-US"/>
              </w:rPr>
              <w:t>Dinamika jezičnih struktura</w:t>
            </w:r>
            <w:r w:rsidRPr="0024624A">
              <w:rPr>
                <w:rFonts w:ascii="Arial" w:hAnsi="Arial" w:cs="Arial"/>
                <w:sz w:val="24"/>
                <w:szCs w:val="24"/>
                <w:lang w:val="en-US"/>
              </w:rPr>
              <w:t>. Zagreb : Studentski centar Sveučilišta u Zagrebu (p. 9-43).</w:t>
            </w:r>
          </w:p>
        </w:tc>
      </w:tr>
      <w:tr w:rsidR="0024624A" w:rsidRPr="00095FFF" w:rsidTr="000611A5">
        <w:tc>
          <w:tcPr>
            <w:tcW w:w="2405" w:type="dxa"/>
          </w:tcPr>
          <w:p w:rsidR="0024624A" w:rsidRPr="00095FFF" w:rsidRDefault="0024624A"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lastRenderedPageBreak/>
              <w:t>Responsable (nom et adresse mail)</w:t>
            </w:r>
          </w:p>
        </w:tc>
        <w:tc>
          <w:tcPr>
            <w:tcW w:w="6657" w:type="dxa"/>
          </w:tcPr>
          <w:p w:rsidR="0024624A" w:rsidRPr="00095FFF" w:rsidRDefault="0024624A"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Larisa Grcic</w:t>
            </w:r>
          </w:p>
          <w:p w:rsidR="0024624A" w:rsidRPr="00095FFF" w:rsidRDefault="0024624A"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lgrcic@unizd.hr</w:t>
            </w:r>
          </w:p>
        </w:tc>
      </w:tr>
    </w:tbl>
    <w:p w:rsidR="007E07FD" w:rsidRDefault="007E07FD"/>
    <w:sectPr w:rsidR="007E07FD">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4E"/>
    <w:rsid w:val="0024624A"/>
    <w:rsid w:val="0077774E"/>
    <w:rsid w:val="007E07FD"/>
    <w:rsid w:val="00834500"/>
    <w:rsid w:val="009B1079"/>
    <w:rsid w:val="009E64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D72D9-2EB7-4519-9980-DB6D08E4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74E"/>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77774E"/>
  </w:style>
  <w:style w:type="table" w:styleId="TableGrid">
    <w:name w:val="Table Grid"/>
    <w:basedOn w:val="TableNormal"/>
    <w:uiPriority w:val="59"/>
    <w:rsid w:val="0077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7774E"/>
    <w:rPr>
      <w:rFonts w:ascii="EC Square Sans Pro" w:hAnsi="EC Square Sans Pro" w:cs="EC Square Sans Pro" w:hint="default"/>
      <w:color w:val="000000"/>
    </w:rPr>
  </w:style>
  <w:style w:type="character" w:styleId="Hyperlink">
    <w:name w:val="Hyperlink"/>
    <w:basedOn w:val="DefaultParagraphFont"/>
    <w:uiPriority w:val="99"/>
    <w:unhideWhenUsed/>
    <w:rsid w:val="008345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mbahnik@unizd.hr</dc:creator>
  <cp:keywords/>
  <dc:description/>
  <cp:lastModifiedBy>mbahnik@unizd.hr</cp:lastModifiedBy>
  <cp:revision>2</cp:revision>
  <dcterms:created xsi:type="dcterms:W3CDTF">2022-11-02T07:09:00Z</dcterms:created>
  <dcterms:modified xsi:type="dcterms:W3CDTF">2022-11-02T07:09:00Z</dcterms:modified>
</cp:coreProperties>
</file>