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9"/>
        <w:gridCol w:w="6523"/>
      </w:tblGrid>
      <w:tr w:rsidR="00A50AC5" w:rsidRPr="006E0223" w14:paraId="6D206A00" w14:textId="77777777" w:rsidTr="00A7647F">
        <w:tc>
          <w:tcPr>
            <w:tcW w:w="9062" w:type="dxa"/>
            <w:gridSpan w:val="2"/>
            <w:shd w:val="clear" w:color="auto" w:fill="D9E2F3" w:themeFill="accent1" w:themeFillTint="33"/>
          </w:tcPr>
          <w:p w14:paraId="5BBFEE28" w14:textId="6E88F7C8" w:rsidR="00A50AC5" w:rsidRPr="00535BD0" w:rsidRDefault="00535BD0" w:rsidP="00A7647F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kern w:val="24"/>
              </w:rPr>
            </w:pPr>
            <w:r>
              <w:rPr>
                <w:rFonts w:ascii="Arial" w:eastAsiaTheme="minorEastAsia" w:hAnsi="Arial" w:cs="Arial"/>
                <w:b/>
                <w:bCs/>
                <w:kern w:val="24"/>
              </w:rPr>
              <w:t>Critique littéraire française</w:t>
            </w:r>
          </w:p>
        </w:tc>
      </w:tr>
      <w:tr w:rsidR="00A50AC5" w:rsidRPr="006E0223" w14:paraId="652C45D7" w14:textId="77777777" w:rsidTr="004D4DA3">
        <w:tc>
          <w:tcPr>
            <w:tcW w:w="2539" w:type="dxa"/>
          </w:tcPr>
          <w:p w14:paraId="0F8F67FB" w14:textId="77777777" w:rsidR="00A50AC5" w:rsidRPr="006E0223" w:rsidRDefault="00A50AC5" w:rsidP="00A7647F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Semestre</w:t>
            </w:r>
          </w:p>
        </w:tc>
        <w:tc>
          <w:tcPr>
            <w:tcW w:w="6523" w:type="dxa"/>
          </w:tcPr>
          <w:p w14:paraId="0B94C3E8" w14:textId="5929F377" w:rsidR="00A50AC5" w:rsidRPr="006E0223" w:rsidRDefault="00535BD0" w:rsidP="00A7647F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>
              <w:rPr>
                <w:rFonts w:ascii="Arial" w:eastAsiaTheme="minorEastAsia" w:hAnsi="Arial" w:cs="Arial"/>
                <w:b/>
                <w:bCs/>
                <w:kern w:val="24"/>
              </w:rPr>
              <w:t>I</w:t>
            </w:r>
            <w:r w:rsidRPr="00535BD0">
              <w:rPr>
                <w:rFonts w:ascii="Arial" w:eastAsiaTheme="minorEastAsia" w:hAnsi="Arial" w:cs="Arial"/>
                <w:b/>
                <w:bCs/>
                <w:kern w:val="24"/>
                <w:vertAlign w:val="superscript"/>
              </w:rPr>
              <w:t>er</w:t>
            </w:r>
            <w:r>
              <w:rPr>
                <w:rFonts w:ascii="Arial" w:eastAsiaTheme="minorEastAsia" w:hAnsi="Arial" w:cs="Arial"/>
                <w:b/>
                <w:bCs/>
                <w:kern w:val="24"/>
              </w:rPr>
              <w:t xml:space="preserve"> (Ière année de licence)</w:t>
            </w:r>
          </w:p>
        </w:tc>
      </w:tr>
      <w:tr w:rsidR="00A50AC5" w:rsidRPr="006E0223" w14:paraId="66FF0D68" w14:textId="77777777" w:rsidTr="004D4DA3">
        <w:tc>
          <w:tcPr>
            <w:tcW w:w="2539" w:type="dxa"/>
          </w:tcPr>
          <w:p w14:paraId="6E802989" w14:textId="77777777" w:rsidR="00A50AC5" w:rsidRPr="006E0223" w:rsidRDefault="00A50AC5" w:rsidP="00A7647F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Durée (en heures hebdomadaires)</w:t>
            </w:r>
          </w:p>
        </w:tc>
        <w:tc>
          <w:tcPr>
            <w:tcW w:w="6523" w:type="dxa"/>
          </w:tcPr>
          <w:p w14:paraId="1E08A6D0" w14:textId="77777777" w:rsidR="00A50AC5" w:rsidRDefault="00535BD0" w:rsidP="00A7647F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>1H de CM et 1H de TD</w:t>
            </w:r>
          </w:p>
          <w:p w14:paraId="45C66435" w14:textId="0929A76D" w:rsidR="005D4B6C" w:rsidRPr="006E0223" w:rsidRDefault="005D4B6C" w:rsidP="00A7647F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</w:p>
        </w:tc>
      </w:tr>
      <w:tr w:rsidR="005D4B6C" w:rsidRPr="006E0223" w14:paraId="0A67813B" w14:textId="77777777" w:rsidTr="004D4DA3">
        <w:tc>
          <w:tcPr>
            <w:tcW w:w="2539" w:type="dxa"/>
          </w:tcPr>
          <w:p w14:paraId="56EAA58B" w14:textId="4CEE15BE" w:rsidR="005D4B6C" w:rsidRPr="006E0223" w:rsidRDefault="005D4B6C" w:rsidP="00A7647F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>
              <w:rPr>
                <w:rFonts w:ascii="Arial" w:eastAsiaTheme="minorEastAsia" w:hAnsi="Arial" w:cs="Arial"/>
                <w:b/>
                <w:bCs/>
                <w:kern w:val="24"/>
              </w:rPr>
              <w:t>Points ECTS</w:t>
            </w:r>
          </w:p>
        </w:tc>
        <w:tc>
          <w:tcPr>
            <w:tcW w:w="6523" w:type="dxa"/>
          </w:tcPr>
          <w:p w14:paraId="02DD99F2" w14:textId="565A9D76" w:rsidR="005D4B6C" w:rsidRDefault="00FE20D9" w:rsidP="00A7647F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>2</w:t>
            </w:r>
          </w:p>
        </w:tc>
      </w:tr>
      <w:tr w:rsidR="00A50AC5" w:rsidRPr="006E0223" w14:paraId="5FE1A737" w14:textId="77777777" w:rsidTr="004D4DA3">
        <w:tc>
          <w:tcPr>
            <w:tcW w:w="2539" w:type="dxa"/>
          </w:tcPr>
          <w:p w14:paraId="61B24BE9" w14:textId="77777777" w:rsidR="00A50AC5" w:rsidRPr="006E0223" w:rsidRDefault="00A50AC5" w:rsidP="00A7647F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Objectifs</w:t>
            </w:r>
          </w:p>
        </w:tc>
        <w:tc>
          <w:tcPr>
            <w:tcW w:w="6523" w:type="dxa"/>
          </w:tcPr>
          <w:p w14:paraId="4BD84ED7" w14:textId="5CD027B7" w:rsidR="00535BD0" w:rsidRPr="004D4DA3" w:rsidRDefault="00535BD0" w:rsidP="004D4D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DA3">
              <w:rPr>
                <w:rFonts w:ascii="Times New Roman" w:hAnsi="Times New Roman" w:cs="Times New Roman"/>
                <w:sz w:val="24"/>
                <w:szCs w:val="24"/>
              </w:rPr>
              <w:t xml:space="preserve">Les étudiants auront acquis les connaissances de </w:t>
            </w:r>
            <w:r w:rsidRPr="004D4DA3">
              <w:rPr>
                <w:rFonts w:ascii="Times New Roman" w:hAnsi="Times New Roman" w:cs="Times New Roman"/>
                <w:sz w:val="24"/>
                <w:szCs w:val="24"/>
              </w:rPr>
              <w:t xml:space="preserve">la périodisation et </w:t>
            </w:r>
            <w:r w:rsidRPr="004D4DA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D4DA3">
              <w:rPr>
                <w:rFonts w:ascii="Times New Roman" w:hAnsi="Times New Roman" w:cs="Times New Roman"/>
                <w:sz w:val="24"/>
                <w:szCs w:val="24"/>
              </w:rPr>
              <w:t>es caractéristiques de la critique littéraire européenne et notamment française du XIX</w:t>
            </w:r>
            <w:r w:rsidRPr="004D4D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r w:rsidRPr="004D4DA3">
              <w:rPr>
                <w:rFonts w:ascii="Times New Roman" w:hAnsi="Times New Roman" w:cs="Times New Roman"/>
                <w:sz w:val="24"/>
                <w:szCs w:val="24"/>
              </w:rPr>
              <w:t xml:space="preserve"> et du XX</w:t>
            </w:r>
            <w:r w:rsidRPr="004D4D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r w:rsidRPr="004D4DA3">
              <w:rPr>
                <w:rFonts w:ascii="Times New Roman" w:hAnsi="Times New Roman" w:cs="Times New Roman"/>
                <w:sz w:val="24"/>
                <w:szCs w:val="24"/>
              </w:rPr>
              <w:t xml:space="preserve"> siècles</w:t>
            </w:r>
            <w:r w:rsidRPr="004D4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5578A7" w14:textId="4D745327" w:rsidR="00535BD0" w:rsidRPr="004D4DA3" w:rsidRDefault="00535BD0" w:rsidP="004D4D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D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4DA3">
              <w:rPr>
                <w:rFonts w:ascii="Times New Roman" w:hAnsi="Times New Roman" w:cs="Times New Roman"/>
                <w:sz w:val="24"/>
                <w:szCs w:val="24"/>
              </w:rPr>
              <w:t>Ils seront aptes à démontrer</w:t>
            </w:r>
            <w:r w:rsidRPr="004D4DA3">
              <w:rPr>
                <w:rFonts w:ascii="Times New Roman" w:hAnsi="Times New Roman" w:cs="Times New Roman"/>
                <w:sz w:val="24"/>
                <w:szCs w:val="24"/>
              </w:rPr>
              <w:t xml:space="preserve"> l’importance d’un ouvrage critique et d’un critique ou d’un théoricien de la littérature dans l’évolution de la critique littéraire française et européenne</w:t>
            </w:r>
            <w:r w:rsidRPr="004D4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0283C0" w14:textId="13D79205" w:rsidR="00535BD0" w:rsidRPr="004D4DA3" w:rsidRDefault="00535BD0" w:rsidP="004D4D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D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4DA3">
              <w:rPr>
                <w:rFonts w:ascii="Times New Roman" w:hAnsi="Times New Roman" w:cs="Times New Roman"/>
                <w:sz w:val="24"/>
                <w:szCs w:val="24"/>
              </w:rPr>
              <w:t xml:space="preserve">Ils auront analysé </w:t>
            </w:r>
            <w:r w:rsidRPr="004D4DA3">
              <w:rPr>
                <w:rFonts w:ascii="Times New Roman" w:hAnsi="Times New Roman" w:cs="Times New Roman"/>
                <w:sz w:val="24"/>
                <w:szCs w:val="24"/>
              </w:rPr>
              <w:t xml:space="preserve">des textes </w:t>
            </w:r>
            <w:r w:rsidR="000A245C">
              <w:rPr>
                <w:rFonts w:ascii="Times New Roman" w:hAnsi="Times New Roman" w:cs="Times New Roman"/>
                <w:sz w:val="24"/>
                <w:szCs w:val="24"/>
              </w:rPr>
              <w:t xml:space="preserve">majeurs </w:t>
            </w:r>
            <w:r w:rsidRPr="004D4DA3">
              <w:rPr>
                <w:rFonts w:ascii="Times New Roman" w:hAnsi="Times New Roman" w:cs="Times New Roman"/>
                <w:sz w:val="24"/>
                <w:szCs w:val="24"/>
              </w:rPr>
              <w:t>choisis du corpus de la critique littéraire française du XIX</w:t>
            </w:r>
            <w:r w:rsidRPr="004D4D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r w:rsidRPr="004D4DA3">
              <w:rPr>
                <w:rFonts w:ascii="Times New Roman" w:hAnsi="Times New Roman" w:cs="Times New Roman"/>
                <w:sz w:val="24"/>
                <w:szCs w:val="24"/>
              </w:rPr>
              <w:t xml:space="preserve"> et du XX</w:t>
            </w:r>
            <w:r w:rsidRPr="004D4D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e </w:t>
            </w:r>
            <w:r w:rsidRPr="004D4DA3">
              <w:rPr>
                <w:rFonts w:ascii="Times New Roman" w:hAnsi="Times New Roman" w:cs="Times New Roman"/>
                <w:sz w:val="24"/>
                <w:szCs w:val="24"/>
              </w:rPr>
              <w:t>siècles</w:t>
            </w:r>
            <w:r w:rsidRPr="004D4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171086" w14:textId="2FE3F9FC" w:rsidR="00A50AC5" w:rsidRPr="00535BD0" w:rsidRDefault="00535BD0" w:rsidP="004D4DA3">
            <w:pPr>
              <w:pStyle w:val="NoSpacing"/>
            </w:pPr>
            <w:r w:rsidRPr="004D4D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4DA3">
              <w:rPr>
                <w:rFonts w:ascii="Times New Roman" w:hAnsi="Times New Roman" w:cs="Times New Roman"/>
                <w:sz w:val="24"/>
                <w:szCs w:val="24"/>
              </w:rPr>
              <w:t xml:space="preserve">Ils </w:t>
            </w:r>
            <w:r w:rsidR="004D4DA3" w:rsidRPr="004D4DA3">
              <w:rPr>
                <w:rFonts w:ascii="Times New Roman" w:hAnsi="Times New Roman" w:cs="Times New Roman"/>
                <w:sz w:val="24"/>
                <w:szCs w:val="24"/>
              </w:rPr>
              <w:t>seront aptes à appliquer</w:t>
            </w:r>
            <w:r w:rsidRPr="004D4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DA3" w:rsidRPr="004D4DA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D4DA3">
              <w:rPr>
                <w:rFonts w:ascii="Times New Roman" w:hAnsi="Times New Roman" w:cs="Times New Roman"/>
                <w:sz w:val="24"/>
                <w:szCs w:val="24"/>
              </w:rPr>
              <w:t>es diverses</w:t>
            </w:r>
            <w:r w:rsidRPr="004D4DA3">
              <w:rPr>
                <w:rFonts w:ascii="Times New Roman" w:hAnsi="Times New Roman" w:cs="Times New Roman"/>
                <w:sz w:val="24"/>
                <w:szCs w:val="24"/>
              </w:rPr>
              <w:t xml:space="preserve"> théories modernes et contemporaines dans l’approche critique</w:t>
            </w:r>
            <w:r w:rsidRPr="004D4DA3">
              <w:rPr>
                <w:rFonts w:ascii="Times New Roman" w:hAnsi="Times New Roman" w:cs="Times New Roman"/>
                <w:sz w:val="24"/>
                <w:szCs w:val="24"/>
              </w:rPr>
              <w:t xml:space="preserve"> et l’analyse</w:t>
            </w:r>
            <w:r w:rsidRPr="004D4DA3">
              <w:rPr>
                <w:rFonts w:ascii="Times New Roman" w:hAnsi="Times New Roman" w:cs="Times New Roman"/>
                <w:sz w:val="24"/>
                <w:szCs w:val="24"/>
              </w:rPr>
              <w:t xml:space="preserve"> d’une œuvre littéraire</w:t>
            </w:r>
            <w:r w:rsidRPr="004D4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4DA3" w:rsidRPr="006E0223" w14:paraId="54576D49" w14:textId="77777777" w:rsidTr="004D4DA3">
        <w:tc>
          <w:tcPr>
            <w:tcW w:w="2539" w:type="dxa"/>
          </w:tcPr>
          <w:p w14:paraId="6ED8CE35" w14:textId="77777777" w:rsidR="004D4DA3" w:rsidRPr="006E0223" w:rsidRDefault="004D4DA3" w:rsidP="004D4DA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Contenus enseignés/description des cours</w:t>
            </w:r>
          </w:p>
        </w:tc>
        <w:tc>
          <w:tcPr>
            <w:tcW w:w="6523" w:type="dxa"/>
            <w:vAlign w:val="center"/>
          </w:tcPr>
          <w:p w14:paraId="156EABFD" w14:textId="77777777" w:rsidR="004D4DA3" w:rsidRPr="004D4DA3" w:rsidRDefault="004D4DA3" w:rsidP="004D4D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DA3">
              <w:rPr>
                <w:rFonts w:ascii="Times New Roman" w:hAnsi="Times New Roman" w:cs="Times New Roman"/>
                <w:sz w:val="24"/>
                <w:szCs w:val="24"/>
              </w:rPr>
              <w:t>L’aperçu de la critique littéraire comme genre littéraire à part, genre dépendant de certaines méthodes.</w:t>
            </w:r>
          </w:p>
          <w:p w14:paraId="0E6BB04F" w14:textId="51C8B9B0" w:rsidR="004D4DA3" w:rsidRPr="004D4DA3" w:rsidRDefault="004D4DA3" w:rsidP="004D4DA3">
            <w:pPr>
              <w:pStyle w:val="NoSpacing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  <w:r w:rsidRPr="004D4DA3">
              <w:rPr>
                <w:rFonts w:ascii="Times New Roman" w:hAnsi="Times New Roman" w:cs="Times New Roman"/>
                <w:sz w:val="24"/>
                <w:szCs w:val="24"/>
              </w:rPr>
              <w:t>L’édition critique d’une œuvre littéraire. L’évolution de la critique littéraire française qui devient autonome au début du XIX</w:t>
            </w:r>
            <w:r w:rsidRPr="004D4D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r w:rsidRPr="004D4DA3">
              <w:rPr>
                <w:rFonts w:ascii="Times New Roman" w:hAnsi="Times New Roman" w:cs="Times New Roman"/>
                <w:sz w:val="24"/>
                <w:szCs w:val="24"/>
              </w:rPr>
              <w:t xml:space="preserve"> siècle. Avant cette date, les termes employés était l’explication du texte, les théories esthétiques, les polémiques, et autres. Sainte-Beuve en tant que fondateur de la critique littéraire : la conception journalistique de la critique, « les portraits littéraires », la subjectivité. Le positivisme et la critique : Taine et Brunetière. La critique érudite : Gustave Lanson. La critique littéraire du XX</w:t>
            </w:r>
            <w:r w:rsidRPr="004D4D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r w:rsidRPr="004D4DA3">
              <w:rPr>
                <w:rFonts w:ascii="Times New Roman" w:hAnsi="Times New Roman" w:cs="Times New Roman"/>
                <w:sz w:val="24"/>
                <w:szCs w:val="24"/>
              </w:rPr>
              <w:t xml:space="preserve"> siècle : les critiques littéraires de la revue NRF : la crise de la littérature ou la crise de la critique littéraire ? L’analyse textuelle : l’analyse structurale et formelle (R. Jakobson, </w:t>
            </w:r>
            <w:r w:rsidRPr="004D4D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</w:t>
            </w:r>
            <w:r w:rsidRPr="004D4D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4D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</w:t>
            </w:r>
            <w:r w:rsidRPr="004D4DA3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4D4D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vi</w:t>
            </w:r>
            <w:r w:rsidRPr="004D4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4D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Strauss</w:t>
            </w:r>
            <w:r w:rsidRPr="004D4DA3">
              <w:rPr>
                <w:rFonts w:ascii="Times New Roman" w:hAnsi="Times New Roman" w:cs="Times New Roman"/>
                <w:sz w:val="24"/>
                <w:szCs w:val="24"/>
              </w:rPr>
              <w:t xml:space="preserve">, R. Barthes). L’historicisme (Auerbach). La critique de l’imaginaire et la critique phénoménologique (G. Bachelard, J.-P. </w:t>
            </w:r>
            <w:proofErr w:type="gramStart"/>
            <w:r w:rsidRPr="004D4DA3">
              <w:rPr>
                <w:rFonts w:ascii="Times New Roman" w:hAnsi="Times New Roman" w:cs="Times New Roman"/>
                <w:sz w:val="24"/>
                <w:szCs w:val="24"/>
              </w:rPr>
              <w:t>Richard;</w:t>
            </w:r>
            <w:proofErr w:type="gramEnd"/>
            <w:r w:rsidRPr="004D4DA3">
              <w:rPr>
                <w:rFonts w:ascii="Times New Roman" w:hAnsi="Times New Roman" w:cs="Times New Roman"/>
                <w:sz w:val="24"/>
                <w:szCs w:val="24"/>
              </w:rPr>
              <w:t xml:space="preserve"> Georges Poulet; J. Starobinski). La sociocritique (Claude </w:t>
            </w:r>
            <w:proofErr w:type="spellStart"/>
            <w:r w:rsidRPr="004D4DA3">
              <w:rPr>
                <w:rFonts w:ascii="Times New Roman" w:hAnsi="Times New Roman" w:cs="Times New Roman"/>
                <w:sz w:val="24"/>
                <w:szCs w:val="24"/>
              </w:rPr>
              <w:t>Duchet</w:t>
            </w:r>
            <w:proofErr w:type="spellEnd"/>
            <w:r w:rsidRPr="004D4DA3">
              <w:rPr>
                <w:rFonts w:ascii="Times New Roman" w:hAnsi="Times New Roman" w:cs="Times New Roman"/>
                <w:sz w:val="24"/>
                <w:szCs w:val="24"/>
              </w:rPr>
              <w:t xml:space="preserve">, L. Goldmann et Georg </w:t>
            </w:r>
            <w:proofErr w:type="spellStart"/>
            <w:r w:rsidRPr="004D4DA3">
              <w:rPr>
                <w:rFonts w:ascii="Times New Roman" w:hAnsi="Times New Roman" w:cs="Times New Roman"/>
                <w:sz w:val="24"/>
                <w:szCs w:val="24"/>
              </w:rPr>
              <w:t>Lukàcs</w:t>
            </w:r>
            <w:proofErr w:type="spellEnd"/>
            <w:r w:rsidRPr="004D4DA3">
              <w:rPr>
                <w:rFonts w:ascii="Times New Roman" w:hAnsi="Times New Roman" w:cs="Times New Roman"/>
                <w:sz w:val="24"/>
                <w:szCs w:val="24"/>
              </w:rPr>
              <w:t xml:space="preserve">). La psychocritique (Charles </w:t>
            </w:r>
            <w:proofErr w:type="spellStart"/>
            <w:r w:rsidRPr="004D4DA3">
              <w:rPr>
                <w:rFonts w:ascii="Times New Roman" w:hAnsi="Times New Roman" w:cs="Times New Roman"/>
                <w:sz w:val="24"/>
                <w:szCs w:val="24"/>
              </w:rPr>
              <w:t>Maurron</w:t>
            </w:r>
            <w:proofErr w:type="spellEnd"/>
            <w:r w:rsidRPr="004D4DA3">
              <w:rPr>
                <w:rFonts w:ascii="Times New Roman" w:hAnsi="Times New Roman" w:cs="Times New Roman"/>
                <w:sz w:val="24"/>
                <w:szCs w:val="24"/>
              </w:rPr>
              <w:t>). La méthode interdisciplinaire (René Girard). L’intertextualité (J. Kristeva). La sémiotique de la narration (G. Genette). La stylistique (Léo Spitzer). La critique génétique. Théorie de la réception. De l’herméneutique à la déconstruction.</w:t>
            </w:r>
          </w:p>
        </w:tc>
      </w:tr>
      <w:tr w:rsidR="004D4DA3" w:rsidRPr="006E0223" w14:paraId="6B26E39A" w14:textId="77777777" w:rsidTr="004D4DA3">
        <w:tc>
          <w:tcPr>
            <w:tcW w:w="2539" w:type="dxa"/>
          </w:tcPr>
          <w:p w14:paraId="39087844" w14:textId="77777777" w:rsidR="004D4DA3" w:rsidRPr="006E0223" w:rsidRDefault="004D4DA3" w:rsidP="004D4DA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Modalités de contrôle des connaissances</w:t>
            </w:r>
          </w:p>
        </w:tc>
        <w:tc>
          <w:tcPr>
            <w:tcW w:w="6523" w:type="dxa"/>
          </w:tcPr>
          <w:p w14:paraId="14FA8E04" w14:textId="72B0BF76" w:rsidR="004D4DA3" w:rsidRPr="004D4DA3" w:rsidRDefault="004D4DA3" w:rsidP="004D4DA3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  <w:r w:rsidRPr="004D4DA3">
              <w:rPr>
                <w:rFonts w:ascii="Arial" w:eastAsiaTheme="minorEastAsia" w:hAnsi="Arial" w:cs="Arial"/>
                <w:bCs/>
                <w:kern w:val="24"/>
              </w:rPr>
              <w:t>Examen oral.</w:t>
            </w:r>
          </w:p>
        </w:tc>
      </w:tr>
      <w:tr w:rsidR="004D4DA3" w:rsidRPr="005D4B6C" w14:paraId="1F154BF2" w14:textId="77777777" w:rsidTr="004D4DA3">
        <w:tc>
          <w:tcPr>
            <w:tcW w:w="2539" w:type="dxa"/>
          </w:tcPr>
          <w:p w14:paraId="4DF674F8" w14:textId="77777777" w:rsidR="004D4DA3" w:rsidRPr="006E0223" w:rsidRDefault="004D4DA3" w:rsidP="004D4DA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Bibliographie</w:t>
            </w:r>
          </w:p>
        </w:tc>
        <w:tc>
          <w:tcPr>
            <w:tcW w:w="6523" w:type="dxa"/>
          </w:tcPr>
          <w:p w14:paraId="6690DC8D" w14:textId="77777777" w:rsidR="005D4B6C" w:rsidRPr="005D4B6C" w:rsidRDefault="005D4B6C" w:rsidP="005D4B6C">
            <w:pPr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5D4B6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1. Beker, Miroslav, </w:t>
            </w:r>
            <w:r w:rsidRPr="005D4B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Suvremene književne teorije</w:t>
            </w:r>
            <w:r w:rsidRPr="005D4B6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[je traduis: </w:t>
            </w:r>
            <w:r w:rsidRPr="005D4B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Les théories littéraires contemporaines</w:t>
            </w:r>
            <w:r w:rsidRPr="005D4B6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], Zagreb : Sveučilišna naklada Liber, 1986.</w:t>
            </w:r>
          </w:p>
          <w:p w14:paraId="09126BE5" w14:textId="77777777" w:rsidR="0044548E" w:rsidRDefault="0044548E" w:rsidP="005D4B6C">
            <w:pPr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283E4005" w14:textId="7D2380DB" w:rsidR="0044548E" w:rsidRDefault="0044548E" w:rsidP="0044548E">
            <w:pPr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lastRenderedPageBreak/>
              <w:t>2</w:t>
            </w:r>
            <w:r w:rsidRPr="005D4B6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. Culler,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Jonathan, </w:t>
            </w:r>
            <w:r w:rsidRPr="005D4B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Književna teorija</w:t>
            </w:r>
            <w:r w:rsidRPr="005D4B6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[</w:t>
            </w:r>
            <w:r w:rsidRPr="005D4B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La Théorie littéraire</w:t>
            </w:r>
            <w:r w:rsidRPr="005D4B6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], Zagreb: AGM, 2001.</w:t>
            </w:r>
          </w:p>
          <w:p w14:paraId="772ABC21" w14:textId="27A8D43E" w:rsidR="0044548E" w:rsidRPr="000A245C" w:rsidRDefault="0044548E" w:rsidP="0044548E">
            <w:pPr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. Lovrić,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Goran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i Jeleč, Marijana, </w:t>
            </w:r>
            <w:r w:rsidRPr="000A24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Uvod u interpretaciju proze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[je tr</w:t>
            </w:r>
            <w:r w:rsidRPr="000A245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duis: </w:t>
            </w:r>
            <w:r w:rsidRPr="000A24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Intro</w:t>
            </w:r>
            <w:bookmarkStart w:id="0" w:name="_GoBack"/>
            <w:bookmarkEnd w:id="0"/>
            <w:r w:rsidRPr="000A24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duction à l'interprétation de la prose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], </w:t>
            </w:r>
            <w:r w:rsidRPr="000A245C">
              <w:rPr>
                <w:rFonts w:ascii="Arial Unicode MS" w:hAnsi="Arial Unicode MS"/>
                <w:color w:val="222222"/>
                <w:shd w:val="clear" w:color="auto" w:fill="FFFFFF"/>
                <w:lang w:val="hr-HR"/>
              </w:rPr>
              <w:t>Zagreb : Leykam international ; Zadar : Sveučilište, 2021</w:t>
            </w:r>
            <w:r>
              <w:rPr>
                <w:rFonts w:ascii="Arial Unicode MS" w:hAnsi="Arial Unicode MS"/>
                <w:color w:val="222222"/>
                <w:shd w:val="clear" w:color="auto" w:fill="FFFFFF"/>
                <w:lang w:val="hr-HR"/>
              </w:rPr>
              <w:t>.</w:t>
            </w:r>
          </w:p>
          <w:p w14:paraId="02F228D6" w14:textId="621C0693" w:rsidR="005D4B6C" w:rsidRPr="005D4B6C" w:rsidRDefault="0044548E" w:rsidP="0044548E">
            <w:pPr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4. </w:t>
            </w:r>
            <w:r w:rsidR="005D4B6C" w:rsidRPr="005D4B6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Peleš, Gajo</w:t>
            </w:r>
            <w:r w:rsidR="000A245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, „</w:t>
            </w:r>
            <w:r w:rsidR="005D4B6C" w:rsidRPr="005D4B6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Moderna kritika</w:t>
            </w:r>
            <w:r w:rsidR="000A245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“</w:t>
            </w:r>
            <w:r w:rsidR="005D4B6C" w:rsidRPr="005D4B6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[je traduis: La Critique littéraire moderne], u: </w:t>
            </w:r>
            <w:r w:rsidR="005D4B6C" w:rsidRPr="005D4B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Povijest svjetske književnosti</w:t>
            </w:r>
            <w:r w:rsidR="005D4B6C" w:rsidRPr="005D4B6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[je traduis: </w:t>
            </w:r>
            <w:r w:rsidR="005D4B6C" w:rsidRPr="005D4B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L'Histoire de la littérature mondiale</w:t>
            </w:r>
            <w:r w:rsidR="005D4B6C" w:rsidRPr="005D4B6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], éd. Gabrijela Vidan, tome III, p. 716.-730.  Zagreb: Mladost, 1982.</w:t>
            </w:r>
          </w:p>
        </w:tc>
      </w:tr>
      <w:tr w:rsidR="004D4DA3" w:rsidRPr="006E0223" w14:paraId="2674A28C" w14:textId="77777777" w:rsidTr="004D4DA3">
        <w:tc>
          <w:tcPr>
            <w:tcW w:w="2539" w:type="dxa"/>
          </w:tcPr>
          <w:p w14:paraId="0F0F5138" w14:textId="77777777" w:rsidR="004D4DA3" w:rsidRPr="006E0223" w:rsidRDefault="004D4DA3" w:rsidP="004D4DA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lastRenderedPageBreak/>
              <w:t>Responsable (nom et adresse mail)</w:t>
            </w:r>
          </w:p>
        </w:tc>
        <w:tc>
          <w:tcPr>
            <w:tcW w:w="6523" w:type="dxa"/>
          </w:tcPr>
          <w:p w14:paraId="59AB94B4" w14:textId="38596D97" w:rsidR="004D4DA3" w:rsidRPr="004D4DA3" w:rsidRDefault="004D4DA3" w:rsidP="004D4DA3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  <w:r w:rsidRPr="004D4DA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Mme Daniela </w:t>
            </w:r>
            <w:proofErr w:type="spellStart"/>
            <w:r w:rsidRPr="004D4DA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Ćurko</w:t>
            </w:r>
            <w:proofErr w:type="spellEnd"/>
            <w:r w:rsidRPr="004D4DA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, maître des conférences </w:t>
            </w:r>
            <w:proofErr w:type="gramStart"/>
            <w:r w:rsidRPr="004D4DA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H.D.R..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Pr="004D4DA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Courriel : </w:t>
            </w:r>
            <w:proofErr w:type="spellStart"/>
            <w:r w:rsidRPr="004D4DA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dcurko</w:t>
            </w:r>
            <w:proofErr w:type="spellEnd"/>
            <w:r w:rsidRPr="004D4DA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val="hr-HR"/>
              </w:rPr>
              <w:t>@unizd.hr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val="hr-HR"/>
              </w:rPr>
              <w:t>.</w:t>
            </w:r>
          </w:p>
        </w:tc>
      </w:tr>
    </w:tbl>
    <w:p w14:paraId="638C9093" w14:textId="77777777" w:rsidR="00A50AC5" w:rsidRPr="0015552E" w:rsidRDefault="00A50AC5" w:rsidP="00A50AC5">
      <w:pPr>
        <w:spacing w:after="0" w:line="360" w:lineRule="auto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</w:pPr>
    </w:p>
    <w:p w14:paraId="5D1C6C05" w14:textId="77777777" w:rsidR="00AA397C" w:rsidRDefault="00AA397C"/>
    <w:sectPr w:rsidR="00AA397C" w:rsidSect="0015552E">
      <w:headerReference w:type="default" r:id="rId4"/>
      <w:footerReference w:type="default" r:id="rId5"/>
      <w:pgSz w:w="11906" w:h="16838"/>
      <w:pgMar w:top="141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3924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1B8B95" w14:textId="77777777" w:rsidR="00DF1C0C" w:rsidRDefault="004454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C6C180" w14:textId="77777777" w:rsidR="00DF1C0C" w:rsidRDefault="0044548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34EB1" w14:textId="77777777" w:rsidR="00DF1C0C" w:rsidRPr="0015552E" w:rsidRDefault="0044548E" w:rsidP="00DF1C0C">
    <w:pPr>
      <w:pStyle w:val="Header"/>
      <w:tabs>
        <w:tab w:val="clear" w:pos="4536"/>
        <w:tab w:val="clear" w:pos="9072"/>
        <w:tab w:val="left" w:pos="141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C5"/>
    <w:rsid w:val="000A245C"/>
    <w:rsid w:val="0044548E"/>
    <w:rsid w:val="004D4DA3"/>
    <w:rsid w:val="00535BD0"/>
    <w:rsid w:val="005D4B6C"/>
    <w:rsid w:val="00A50AC5"/>
    <w:rsid w:val="00AA397C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7DF41"/>
  <w15:chartTrackingRefBased/>
  <w15:docId w15:val="{1777736B-891C-402A-8115-B11EC0DF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AC5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AC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A50AC5"/>
    <w:rPr>
      <w:rFonts w:ascii="Times New Roman" w:eastAsia="Calibri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A50AC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A50AC5"/>
    <w:rPr>
      <w:rFonts w:ascii="Times New Roman" w:eastAsia="Calibri" w:hAnsi="Times New Roman" w:cs="Times New Roman"/>
      <w:sz w:val="24"/>
      <w:szCs w:val="24"/>
      <w:lang w:val="hr-HR"/>
    </w:rPr>
  </w:style>
  <w:style w:type="table" w:styleId="TableGrid">
    <w:name w:val="Table Grid"/>
    <w:basedOn w:val="TableNormal"/>
    <w:uiPriority w:val="59"/>
    <w:rsid w:val="00A50AC5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D4DA3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dcterms:created xsi:type="dcterms:W3CDTF">2023-01-29T20:35:00Z</dcterms:created>
  <dcterms:modified xsi:type="dcterms:W3CDTF">2023-01-29T21:03:00Z</dcterms:modified>
</cp:coreProperties>
</file>