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7" w:type="dxa"/>
        <w:tblInd w:w="-108" w:type="dxa"/>
        <w:tblLayout w:type="fixed"/>
        <w:tblCellMar>
          <w:left w:w="10" w:type="dxa"/>
          <w:right w:w="10" w:type="dxa"/>
        </w:tblCellMar>
        <w:tblLook w:val="0000" w:firstRow="0" w:lastRow="0" w:firstColumn="0" w:lastColumn="0" w:noHBand="0" w:noVBand="0"/>
      </w:tblPr>
      <w:tblGrid>
        <w:gridCol w:w="1995"/>
        <w:gridCol w:w="720"/>
        <w:gridCol w:w="2219"/>
        <w:gridCol w:w="932"/>
        <w:gridCol w:w="932"/>
        <w:gridCol w:w="932"/>
        <w:gridCol w:w="1480"/>
        <w:gridCol w:w="77"/>
      </w:tblGrid>
      <w:tr w:rsidR="004D40CE">
        <w:tc>
          <w:tcPr>
            <w:tcW w:w="19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4D40CE">
            <w:pPr>
              <w:pStyle w:val="Standard"/>
              <w:spacing w:after="0" w:line="240" w:lineRule="auto"/>
            </w:pPr>
            <w:bookmarkStart w:id="0" w:name="_GoBack"/>
            <w:bookmarkEnd w:id="0"/>
          </w:p>
        </w:tc>
        <w:tc>
          <w:tcPr>
            <w:tcW w:w="721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jc w:val="center"/>
            </w:pPr>
            <w:r>
              <w:t>Department</w:t>
            </w:r>
          </w:p>
          <w:p w:rsidR="004D40CE" w:rsidRDefault="003B5133">
            <w:pPr>
              <w:pStyle w:val="Standard"/>
              <w:spacing w:after="0" w:line="240" w:lineRule="auto"/>
              <w:jc w:val="center"/>
            </w:pPr>
            <w:r>
              <w:t>Study programme</w:t>
            </w:r>
          </w:p>
        </w:tc>
        <w:tc>
          <w:tcPr>
            <w:tcW w:w="77" w:type="dxa"/>
            <w:shd w:val="clear" w:color="auto" w:fill="auto"/>
            <w:tcMar>
              <w:top w:w="0" w:type="dxa"/>
              <w:left w:w="10" w:type="dxa"/>
              <w:bottom w:w="0" w:type="dxa"/>
              <w:right w:w="10" w:type="dxa"/>
            </w:tcMar>
          </w:tcPr>
          <w:p w:rsidR="004D40CE" w:rsidRDefault="004D40CE">
            <w:pPr>
              <w:pStyle w:val="Standard"/>
            </w:pPr>
          </w:p>
        </w:tc>
      </w:tr>
      <w:tr w:rsidR="004D40CE">
        <w:tc>
          <w:tcPr>
            <w:tcW w:w="19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pPr>
            <w:r>
              <w:t>Description of the study programme</w:t>
            </w:r>
          </w:p>
        </w:tc>
        <w:tc>
          <w:tcPr>
            <w:tcW w:w="721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4D40CE">
            <w:pPr>
              <w:pStyle w:val="Standard"/>
              <w:spacing w:after="0" w:line="240" w:lineRule="auto"/>
            </w:pPr>
          </w:p>
        </w:tc>
        <w:tc>
          <w:tcPr>
            <w:tcW w:w="77" w:type="dxa"/>
            <w:shd w:val="clear" w:color="auto" w:fill="auto"/>
            <w:tcMar>
              <w:top w:w="0" w:type="dxa"/>
              <w:left w:w="10" w:type="dxa"/>
              <w:bottom w:w="0" w:type="dxa"/>
              <w:right w:w="10" w:type="dxa"/>
            </w:tcMar>
          </w:tcPr>
          <w:p w:rsidR="004D40CE" w:rsidRDefault="004D40CE">
            <w:pPr>
              <w:pStyle w:val="Standard"/>
            </w:pPr>
          </w:p>
        </w:tc>
      </w:tr>
      <w:tr w:rsidR="004D40CE">
        <w:tc>
          <w:tcPr>
            <w:tcW w:w="19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pPr>
            <w:r>
              <w:t>Learning outcomes of the study programme</w:t>
            </w:r>
          </w:p>
        </w:tc>
        <w:tc>
          <w:tcPr>
            <w:tcW w:w="721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4D40CE">
            <w:pPr>
              <w:pStyle w:val="Standard"/>
              <w:spacing w:after="0" w:line="240" w:lineRule="auto"/>
            </w:pPr>
          </w:p>
        </w:tc>
        <w:tc>
          <w:tcPr>
            <w:tcW w:w="77" w:type="dxa"/>
            <w:shd w:val="clear" w:color="auto" w:fill="auto"/>
            <w:tcMar>
              <w:top w:w="0" w:type="dxa"/>
              <w:left w:w="10" w:type="dxa"/>
              <w:bottom w:w="0" w:type="dxa"/>
              <w:right w:w="10" w:type="dxa"/>
            </w:tcMar>
          </w:tcPr>
          <w:p w:rsidR="004D40CE" w:rsidRDefault="004D40CE">
            <w:pPr>
              <w:pStyle w:val="Standard"/>
            </w:pPr>
          </w:p>
        </w:tc>
      </w:tr>
      <w:tr w:rsidR="004D40CE">
        <w:tc>
          <w:tcPr>
            <w:tcW w:w="19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pPr>
            <w:r>
              <w:t>List of courses offered in a foreign language in winter term (by semesters)</w:t>
            </w:r>
          </w:p>
        </w:tc>
        <w:tc>
          <w:tcPr>
            <w:tcW w:w="721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4D40CE">
            <w:pPr>
              <w:pStyle w:val="Standard"/>
              <w:spacing w:after="0" w:line="240" w:lineRule="auto"/>
            </w:pPr>
          </w:p>
        </w:tc>
        <w:tc>
          <w:tcPr>
            <w:tcW w:w="77" w:type="dxa"/>
            <w:shd w:val="clear" w:color="auto" w:fill="auto"/>
            <w:tcMar>
              <w:top w:w="0" w:type="dxa"/>
              <w:left w:w="10" w:type="dxa"/>
              <w:bottom w:w="0" w:type="dxa"/>
              <w:right w:w="10" w:type="dxa"/>
            </w:tcMar>
          </w:tcPr>
          <w:p w:rsidR="004D40CE" w:rsidRDefault="004D40CE">
            <w:pPr>
              <w:pStyle w:val="Standard"/>
            </w:pPr>
          </w:p>
        </w:tc>
      </w:tr>
      <w:tr w:rsidR="004D40CE">
        <w:tc>
          <w:tcPr>
            <w:tcW w:w="19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pPr>
            <w:r>
              <w:t>List of courses  offered in a foreign language in summer term (by semesters)</w:t>
            </w:r>
          </w:p>
        </w:tc>
        <w:tc>
          <w:tcPr>
            <w:tcW w:w="721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4D40CE">
            <w:pPr>
              <w:pStyle w:val="Standard"/>
              <w:spacing w:after="0" w:line="240" w:lineRule="auto"/>
            </w:pPr>
          </w:p>
        </w:tc>
        <w:tc>
          <w:tcPr>
            <w:tcW w:w="77" w:type="dxa"/>
            <w:shd w:val="clear" w:color="auto" w:fill="auto"/>
            <w:tcMar>
              <w:top w:w="0" w:type="dxa"/>
              <w:left w:w="10" w:type="dxa"/>
              <w:bottom w:w="0" w:type="dxa"/>
              <w:right w:w="10" w:type="dxa"/>
            </w:tcMar>
          </w:tcPr>
          <w:p w:rsidR="004D40CE" w:rsidRDefault="004D40CE">
            <w:pPr>
              <w:pStyle w:val="Standard"/>
            </w:pPr>
          </w:p>
        </w:tc>
      </w:tr>
      <w:tr w:rsidR="004D40CE">
        <w:tc>
          <w:tcPr>
            <w:tcW w:w="921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jc w:val="center"/>
            </w:pPr>
            <w:r>
              <w:t>Description of the courses  offered in a foreign language</w:t>
            </w:r>
          </w:p>
        </w:tc>
        <w:tc>
          <w:tcPr>
            <w:tcW w:w="77" w:type="dxa"/>
            <w:shd w:val="clear" w:color="auto" w:fill="auto"/>
            <w:tcMar>
              <w:top w:w="0" w:type="dxa"/>
              <w:left w:w="10" w:type="dxa"/>
              <w:bottom w:w="0" w:type="dxa"/>
              <w:right w:w="10" w:type="dxa"/>
            </w:tcMar>
          </w:tcPr>
          <w:p w:rsidR="004D40CE" w:rsidRDefault="004D40CE">
            <w:pPr>
              <w:pStyle w:val="Standard"/>
            </w:pPr>
          </w:p>
        </w:tc>
      </w:tr>
      <w:tr w:rsidR="004D40CE">
        <w:tc>
          <w:tcPr>
            <w:tcW w:w="19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pPr>
            <w:r>
              <w:t>Name of the course</w:t>
            </w:r>
          </w:p>
        </w:tc>
        <w:tc>
          <w:tcPr>
            <w:tcW w:w="721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before="120" w:after="120" w:line="240" w:lineRule="auto"/>
              <w:jc w:val="both"/>
            </w:pPr>
            <w:r>
              <w:rPr>
                <w:rFonts w:ascii="Arial" w:hAnsi="Arial" w:cs="Century Gothic"/>
                <w:b/>
                <w:bCs/>
                <w:lang w:val="fr-FR"/>
              </w:rPr>
              <w:t>Analyse de textes littéraires</w:t>
            </w:r>
            <w:r>
              <w:rPr>
                <w:rFonts w:ascii="Arial" w:hAnsi="Arial"/>
                <w:b/>
                <w:bCs/>
                <w:lang w:val="fr-FR"/>
              </w:rPr>
              <w:t xml:space="preserve"> français</w:t>
            </w:r>
          </w:p>
        </w:tc>
        <w:tc>
          <w:tcPr>
            <w:tcW w:w="77" w:type="dxa"/>
            <w:shd w:val="clear" w:color="auto" w:fill="auto"/>
            <w:tcMar>
              <w:top w:w="0" w:type="dxa"/>
              <w:left w:w="10" w:type="dxa"/>
              <w:bottom w:w="0" w:type="dxa"/>
              <w:right w:w="10" w:type="dxa"/>
            </w:tcMar>
          </w:tcPr>
          <w:p w:rsidR="004D40CE" w:rsidRDefault="004D40CE">
            <w:pPr>
              <w:pStyle w:val="Standard"/>
            </w:pPr>
          </w:p>
        </w:tc>
      </w:tr>
      <w:tr w:rsidR="004D40CE">
        <w:tc>
          <w:tcPr>
            <w:tcW w:w="19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pPr>
            <w:r>
              <w:t>Number of ECTS credits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pPr>
            <w:r>
              <w:t>3</w:t>
            </w:r>
          </w:p>
        </w:tc>
        <w:tc>
          <w:tcPr>
            <w:tcW w:w="22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pPr>
            <w:r>
              <w:t>Manner of implementation of the study programme</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pPr>
            <w:r>
              <w:t>L</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pPr>
            <w:r>
              <w:t>E</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pPr>
            <w:r>
              <w:t>S</w:t>
            </w:r>
          </w:p>
        </w:tc>
        <w:tc>
          <w:tcPr>
            <w:tcW w:w="15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pPr>
            <w:r>
              <w:t>Semester</w:t>
            </w:r>
          </w:p>
          <w:p w:rsidR="004D40CE" w:rsidRDefault="003B5133">
            <w:pPr>
              <w:pStyle w:val="Standard"/>
              <w:spacing w:after="0" w:line="240" w:lineRule="auto"/>
            </w:pPr>
            <w:r>
              <w:t>3</w:t>
            </w:r>
          </w:p>
        </w:tc>
      </w:tr>
      <w:tr w:rsidR="004D40CE">
        <w:tc>
          <w:tcPr>
            <w:tcW w:w="19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pPr>
            <w:r>
              <w:t>Description of the cours</w:t>
            </w:r>
          </w:p>
        </w:tc>
        <w:tc>
          <w:tcPr>
            <w:tcW w:w="721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pBdr>
                <w:top w:val="single" w:sz="4" w:space="1" w:color="000000"/>
                <w:left w:val="single" w:sz="4" w:space="1" w:color="000000"/>
                <w:bottom w:val="single" w:sz="4" w:space="1" w:color="000000"/>
                <w:right w:val="single" w:sz="4" w:space="1" w:color="000000"/>
              </w:pBdr>
              <w:spacing w:after="0" w:line="240" w:lineRule="auto"/>
              <w:jc w:val="both"/>
              <w:rPr>
                <w:rFonts w:ascii="Arial" w:hAnsi="Arial" w:cs="Century Gothic"/>
                <w:sz w:val="20"/>
                <w:szCs w:val="20"/>
                <w:shd w:val="clear" w:color="auto" w:fill="FFFFFF"/>
                <w:lang w:val="fr-FR"/>
              </w:rPr>
            </w:pPr>
            <w:r>
              <w:rPr>
                <w:rFonts w:ascii="Arial" w:hAnsi="Arial" w:cs="Century Gothic"/>
                <w:sz w:val="20"/>
                <w:szCs w:val="20"/>
                <w:shd w:val="clear" w:color="auto" w:fill="FFFFFF"/>
                <w:lang w:val="fr-FR"/>
              </w:rPr>
              <w:t>Ce cursus donne aux étudiants une forte capacité de lecture, une formation solide aux exercises dʾexplication et de commentaire des textes littéraires ainsi quʾune ouverture dʾesprit et une capacité de réflexion qui soient de nature à les conduire à une véritable aptitude à la problématisation.</w:t>
            </w:r>
          </w:p>
          <w:p w:rsidR="004D40CE" w:rsidRDefault="003B5133">
            <w:pPr>
              <w:pStyle w:val="Standard"/>
              <w:pBdr>
                <w:top w:val="single" w:sz="4" w:space="1" w:color="000000"/>
                <w:left w:val="single" w:sz="4" w:space="1" w:color="000000"/>
                <w:bottom w:val="single" w:sz="4" w:space="1" w:color="000000"/>
                <w:right w:val="single" w:sz="4" w:space="1" w:color="000000"/>
              </w:pBdr>
              <w:spacing w:after="0" w:line="240" w:lineRule="auto"/>
              <w:jc w:val="both"/>
              <w:rPr>
                <w:rFonts w:ascii="Arial" w:hAnsi="Arial" w:cs="Century Gothic"/>
                <w:sz w:val="20"/>
                <w:szCs w:val="20"/>
                <w:shd w:val="clear" w:color="auto" w:fill="FFFFFF"/>
                <w:lang w:val="fr-FR"/>
              </w:rPr>
            </w:pPr>
            <w:r>
              <w:rPr>
                <w:rFonts w:ascii="Arial" w:hAnsi="Arial" w:cs="Century Gothic"/>
                <w:sz w:val="20"/>
                <w:szCs w:val="20"/>
                <w:shd w:val="clear" w:color="auto" w:fill="FFFFFF"/>
                <w:lang w:val="fr-FR"/>
              </w:rPr>
              <w:t>Comme le nom du cours lʾindique, lʾenseignement sʾappuie sur la lecture et le commentaire de textes littéraires des XIXe et XXe siècles :</w:t>
            </w:r>
          </w:p>
          <w:p w:rsidR="004D40CE" w:rsidRDefault="003B5133">
            <w:pPr>
              <w:pStyle w:val="Standard"/>
              <w:pBdr>
                <w:top w:val="single" w:sz="4" w:space="1" w:color="000000"/>
                <w:left w:val="single" w:sz="4" w:space="1" w:color="000000"/>
                <w:bottom w:val="single" w:sz="4" w:space="1" w:color="000000"/>
                <w:right w:val="single" w:sz="4" w:space="1" w:color="000000"/>
              </w:pBdr>
              <w:spacing w:after="0" w:line="240" w:lineRule="auto"/>
              <w:jc w:val="both"/>
            </w:pPr>
            <w:r>
              <w:rPr>
                <w:rFonts w:ascii="Arial" w:hAnsi="Arial" w:cs="Century Gothic"/>
                <w:sz w:val="20"/>
                <w:szCs w:val="20"/>
                <w:shd w:val="clear" w:color="auto" w:fill="FFFFFF"/>
                <w:lang w:val="fr-FR"/>
              </w:rPr>
              <w:t xml:space="preserve">1) Introduction à l´analyse d´un texte littéraire: observation du texte dans sa totalité, ses thèmes, ses effets structurants, analyse grammaticale, lexicale, stylistique. Lexique de l’analyse littéraire (notions essentielles). 2) Lecture méthodique d’un texte : a) situation et sujet (ou thème) du texte ; b) plan ou composition du texte. 3) Lecture méthodique d’un texte (suite) : c) étude des mouvements successifs du texte (sens et langage) ; d) conclusion sur les aspects principaux et l’intérêt du texte. Application à  un texte romanesque : François Mauriac, </w:t>
            </w:r>
            <w:r>
              <w:rPr>
                <w:rFonts w:ascii="Arial" w:hAnsi="Arial" w:cs="Century Gothic"/>
                <w:i/>
                <w:sz w:val="20"/>
                <w:szCs w:val="20"/>
                <w:shd w:val="clear" w:color="auto" w:fill="FFFFFF"/>
                <w:lang w:val="fr-FR"/>
              </w:rPr>
              <w:t>Thérèse Desqueyroux</w:t>
            </w:r>
            <w:r>
              <w:rPr>
                <w:rFonts w:ascii="Arial" w:hAnsi="Arial" w:cs="Century Gothic"/>
                <w:sz w:val="20"/>
                <w:szCs w:val="20"/>
                <w:shd w:val="clear" w:color="auto" w:fill="FFFFFF"/>
                <w:lang w:val="fr-FR"/>
              </w:rPr>
              <w:t xml:space="preserve"> (1927). 4) Le genre  romanesque ; technique du roman: modalité du récit, schéma narratif, action / intrigue, mouvement / dynamique du texte, moyens narratifs / procédés d’écriture, peinture de la société / des mœurs, écriture / style. Texte proposé : George Sand, </w:t>
            </w:r>
            <w:r>
              <w:rPr>
                <w:rFonts w:ascii="Arial" w:hAnsi="Arial" w:cs="Century Gothic"/>
                <w:i/>
                <w:sz w:val="20"/>
                <w:szCs w:val="20"/>
                <w:shd w:val="clear" w:color="auto" w:fill="FFFFFF"/>
                <w:lang w:val="fr-FR"/>
              </w:rPr>
              <w:t>Mauprat</w:t>
            </w:r>
            <w:r>
              <w:rPr>
                <w:rFonts w:ascii="Arial" w:hAnsi="Arial" w:cs="Century Gothic"/>
                <w:sz w:val="20"/>
                <w:szCs w:val="20"/>
                <w:shd w:val="clear" w:color="auto" w:fill="FFFFFF"/>
                <w:lang w:val="fr-FR"/>
              </w:rPr>
              <w:t xml:space="preserve"> (1837). 5) Texte polémique  qui critique et propose. La naissance du naturalisme. Texte proposé : Jules et Edmond de Goncourt, </w:t>
            </w:r>
            <w:r>
              <w:rPr>
                <w:rFonts w:ascii="Arial" w:hAnsi="Arial" w:cs="Century Gothic"/>
                <w:i/>
                <w:sz w:val="20"/>
                <w:szCs w:val="20"/>
                <w:shd w:val="clear" w:color="auto" w:fill="FFFFFF"/>
                <w:lang w:val="fr-FR"/>
              </w:rPr>
              <w:t>Préface de Germinie Lacerteux</w:t>
            </w:r>
            <w:r>
              <w:rPr>
                <w:rFonts w:ascii="Arial" w:hAnsi="Arial" w:cs="Century Gothic"/>
                <w:sz w:val="20"/>
                <w:szCs w:val="20"/>
                <w:shd w:val="clear" w:color="auto" w:fill="FFFFFF"/>
                <w:lang w:val="fr-FR"/>
              </w:rPr>
              <w:t xml:space="preserve"> (1865). 6) Une préface-manifeste : critique du roman à la mode ; le peuple a droit au roman ; ce que doit être le roman (</w:t>
            </w:r>
            <w:r>
              <w:rPr>
                <w:rFonts w:ascii="Arial" w:hAnsi="Arial" w:cs="Century Gothic"/>
                <w:i/>
                <w:sz w:val="20"/>
                <w:szCs w:val="20"/>
                <w:shd w:val="clear" w:color="auto" w:fill="FFFFFF"/>
                <w:lang w:val="fr-FR"/>
              </w:rPr>
              <w:t>Préface de Germinie</w:t>
            </w:r>
            <w:r>
              <w:rPr>
                <w:rFonts w:ascii="Arial" w:hAnsi="Arial" w:cs="Century Gothic"/>
                <w:sz w:val="20"/>
                <w:szCs w:val="20"/>
                <w:shd w:val="clear" w:color="auto" w:fill="FFFFFF"/>
                <w:lang w:val="fr-FR"/>
              </w:rPr>
              <w:t xml:space="preserve"> </w:t>
            </w:r>
            <w:r>
              <w:rPr>
                <w:rFonts w:ascii="Arial" w:hAnsi="Arial" w:cs="Century Gothic"/>
                <w:i/>
                <w:sz w:val="20"/>
                <w:szCs w:val="20"/>
                <w:shd w:val="clear" w:color="auto" w:fill="FFFFFF"/>
                <w:lang w:val="fr-FR"/>
              </w:rPr>
              <w:t>Lacerteux</w:t>
            </w:r>
            <w:r>
              <w:rPr>
                <w:rFonts w:ascii="Arial" w:hAnsi="Arial" w:cs="Century Gothic"/>
                <w:sz w:val="20"/>
                <w:szCs w:val="20"/>
                <w:shd w:val="clear" w:color="auto" w:fill="FFFFFF"/>
                <w:lang w:val="fr-FR"/>
              </w:rPr>
              <w:t xml:space="preserve">). 7) Le naturalisme zolien : un espace symbolique de la condition ouvrière. Texte proposé : Émile Zola, </w:t>
            </w:r>
            <w:r>
              <w:rPr>
                <w:rFonts w:ascii="Arial" w:hAnsi="Arial" w:cs="Century Gothic"/>
                <w:i/>
                <w:sz w:val="20"/>
                <w:szCs w:val="20"/>
                <w:shd w:val="clear" w:color="auto" w:fill="FFFFFF"/>
                <w:lang w:val="fr-FR"/>
              </w:rPr>
              <w:t>Germinal</w:t>
            </w:r>
            <w:r>
              <w:rPr>
                <w:rFonts w:ascii="Arial" w:hAnsi="Arial" w:cs="Century Gothic"/>
                <w:sz w:val="20"/>
                <w:szCs w:val="20"/>
                <w:shd w:val="clear" w:color="auto" w:fill="FFFFFF"/>
                <w:lang w:val="fr-FR"/>
              </w:rPr>
              <w:t xml:space="preserve"> (1885), Première partie, chapitre 1. 8) Le naturalisme zolien (suite). 9) Le XXe siècle : l´exploration infinie du récit ; la coexistence des formes romanesques divergentes. 10) Le XXe siècle : l´exploration infinie du récit. Texte proposé : Louis Ferdinand Céline, </w:t>
            </w:r>
            <w:r>
              <w:rPr>
                <w:rFonts w:ascii="Arial" w:hAnsi="Arial" w:cs="Century Gothic"/>
                <w:i/>
                <w:sz w:val="20"/>
                <w:szCs w:val="20"/>
                <w:shd w:val="clear" w:color="auto" w:fill="FFFFFF"/>
                <w:lang w:val="fr-FR"/>
              </w:rPr>
              <w:t>Voyage</w:t>
            </w:r>
            <w:r>
              <w:rPr>
                <w:rFonts w:ascii="Arial" w:hAnsi="Arial" w:cs="Century Gothic"/>
                <w:sz w:val="20"/>
                <w:szCs w:val="20"/>
                <w:shd w:val="clear" w:color="auto" w:fill="FFFFFF"/>
                <w:lang w:val="fr-FR"/>
              </w:rPr>
              <w:t xml:space="preserve"> </w:t>
            </w:r>
            <w:r>
              <w:rPr>
                <w:rFonts w:ascii="Arial" w:hAnsi="Arial" w:cs="Century Gothic"/>
                <w:i/>
                <w:sz w:val="20"/>
                <w:szCs w:val="20"/>
                <w:shd w:val="clear" w:color="auto" w:fill="FFFFFF"/>
                <w:lang w:val="fr-FR"/>
              </w:rPr>
              <w:t>au bout de la nuit</w:t>
            </w:r>
            <w:r>
              <w:rPr>
                <w:rFonts w:ascii="Arial" w:hAnsi="Arial" w:cs="Century Gothic"/>
                <w:sz w:val="20"/>
                <w:szCs w:val="20"/>
                <w:shd w:val="clear" w:color="auto" w:fill="FFFFFF"/>
                <w:lang w:val="fr-FR"/>
              </w:rPr>
              <w:t xml:space="preserve"> (1932). 11) Le XXe siècle : l´exploration infinie du récit. Texte proposé : Georges Bernanos : </w:t>
            </w:r>
            <w:r>
              <w:rPr>
                <w:rFonts w:ascii="Arial" w:hAnsi="Arial" w:cs="Century Gothic"/>
                <w:i/>
                <w:sz w:val="20"/>
                <w:szCs w:val="20"/>
                <w:shd w:val="clear" w:color="auto" w:fill="FFFFFF"/>
                <w:lang w:val="fr-FR"/>
              </w:rPr>
              <w:t>Journal d´un curé de campagne</w:t>
            </w:r>
            <w:r>
              <w:rPr>
                <w:rFonts w:ascii="Arial" w:hAnsi="Arial" w:cs="Century Gothic"/>
                <w:sz w:val="20"/>
                <w:szCs w:val="20"/>
                <w:shd w:val="clear" w:color="auto" w:fill="FFFFFF"/>
                <w:lang w:val="fr-FR"/>
              </w:rPr>
              <w:t xml:space="preserve"> (1936). 12) Le XXe siècle : l´exploration infinie du récit. Texte proposé : Georges Bernanos : </w:t>
            </w:r>
            <w:r>
              <w:rPr>
                <w:rFonts w:ascii="Arial" w:hAnsi="Arial" w:cs="Century Gothic"/>
                <w:i/>
                <w:sz w:val="20"/>
                <w:szCs w:val="20"/>
                <w:shd w:val="clear" w:color="auto" w:fill="FFFFFF"/>
                <w:lang w:val="fr-FR"/>
              </w:rPr>
              <w:t xml:space="preserve">Journal d´un curé de campagne </w:t>
            </w:r>
            <w:r>
              <w:rPr>
                <w:rFonts w:ascii="Arial" w:hAnsi="Arial" w:cs="Century Gothic"/>
                <w:sz w:val="20"/>
                <w:szCs w:val="20"/>
                <w:shd w:val="clear" w:color="auto" w:fill="FFFFFF"/>
                <w:lang w:val="fr-FR"/>
              </w:rPr>
              <w:t>(suite).</w:t>
            </w:r>
            <w:r>
              <w:rPr>
                <w:rFonts w:ascii="Arial" w:hAnsi="Arial" w:cs="Century Gothic"/>
                <w:i/>
                <w:sz w:val="20"/>
                <w:szCs w:val="20"/>
                <w:shd w:val="clear" w:color="auto" w:fill="FFFFFF"/>
                <w:lang w:val="fr-FR"/>
              </w:rPr>
              <w:t xml:space="preserve"> </w:t>
            </w:r>
            <w:r>
              <w:rPr>
                <w:rFonts w:ascii="Arial" w:hAnsi="Arial" w:cs="Century Gothic"/>
                <w:sz w:val="20"/>
                <w:szCs w:val="20"/>
                <w:shd w:val="clear" w:color="auto" w:fill="FFFFFF"/>
                <w:lang w:val="fr-FR"/>
              </w:rPr>
              <w:t>13)</w:t>
            </w:r>
            <w:r>
              <w:rPr>
                <w:rFonts w:ascii="Arial" w:hAnsi="Arial" w:cs="Century Gothic"/>
                <w:i/>
                <w:sz w:val="20"/>
                <w:szCs w:val="20"/>
                <w:shd w:val="clear" w:color="auto" w:fill="FFFFFF"/>
                <w:lang w:val="fr-FR"/>
              </w:rPr>
              <w:t xml:space="preserve"> </w:t>
            </w:r>
            <w:r>
              <w:rPr>
                <w:rFonts w:ascii="Arial" w:hAnsi="Arial" w:cs="Century Gothic"/>
                <w:sz w:val="20"/>
                <w:szCs w:val="20"/>
                <w:shd w:val="clear" w:color="auto" w:fill="FFFFFF"/>
                <w:lang w:val="fr-FR"/>
              </w:rPr>
              <w:t xml:space="preserve">Les particularités du récit dans </w:t>
            </w:r>
            <w:r>
              <w:rPr>
                <w:rFonts w:ascii="Arial" w:hAnsi="Arial" w:cs="Century Gothic"/>
                <w:i/>
                <w:iCs/>
                <w:sz w:val="20"/>
                <w:szCs w:val="20"/>
                <w:shd w:val="clear" w:color="auto" w:fill="FFFFFF"/>
                <w:lang w:val="fr-FR"/>
              </w:rPr>
              <w:t>LʾÉtranger</w:t>
            </w:r>
            <w:r>
              <w:rPr>
                <w:rFonts w:ascii="Arial" w:hAnsi="Arial" w:cs="Century Gothic"/>
                <w:sz w:val="20"/>
                <w:szCs w:val="20"/>
                <w:shd w:val="clear" w:color="auto" w:fill="FFFFFF"/>
                <w:lang w:val="fr-FR"/>
              </w:rPr>
              <w:t xml:space="preserve"> dʼAlbert Camus. 14) La notion dʼabsurde dans </w:t>
            </w:r>
            <w:r>
              <w:rPr>
                <w:rFonts w:ascii="Arial" w:hAnsi="Arial" w:cs="Century Gothic"/>
                <w:i/>
                <w:iCs/>
                <w:sz w:val="20"/>
                <w:szCs w:val="20"/>
                <w:shd w:val="clear" w:color="auto" w:fill="FFFFFF"/>
                <w:lang w:val="fr-FR"/>
              </w:rPr>
              <w:t>LʾÉtranger</w:t>
            </w:r>
            <w:r>
              <w:rPr>
                <w:rFonts w:ascii="Arial" w:hAnsi="Arial" w:cs="Century Gothic"/>
                <w:sz w:val="20"/>
                <w:szCs w:val="20"/>
                <w:shd w:val="clear" w:color="auto" w:fill="FFFFFF"/>
                <w:lang w:val="fr-FR"/>
              </w:rPr>
              <w:t xml:space="preserve"> </w:t>
            </w:r>
            <w:r>
              <w:rPr>
                <w:rFonts w:ascii="Arial" w:hAnsi="Arial" w:cs="Century Gothic"/>
                <w:sz w:val="20"/>
                <w:szCs w:val="20"/>
                <w:shd w:val="clear" w:color="auto" w:fill="FFFFFF"/>
                <w:lang w:val="fr-FR"/>
              </w:rPr>
              <w:lastRenderedPageBreak/>
              <w:t xml:space="preserve">dʼAlbert Camus. 15) Au terme de la lecture méthodique des textes : les réactions et les jugements personnels des étudiants. </w:t>
            </w:r>
            <w:r>
              <w:rPr>
                <w:rFonts w:ascii="Arial" w:hAnsi="Arial" w:cs="Century Gothic"/>
                <w:sz w:val="20"/>
                <w:szCs w:val="20"/>
                <w:shd w:val="clear" w:color="auto" w:fill="FFFFFF"/>
              </w:rPr>
              <w:t>Récapitulatif de textes analysés.</w:t>
            </w:r>
          </w:p>
        </w:tc>
        <w:tc>
          <w:tcPr>
            <w:tcW w:w="77" w:type="dxa"/>
            <w:shd w:val="clear" w:color="auto" w:fill="auto"/>
            <w:tcMar>
              <w:top w:w="0" w:type="dxa"/>
              <w:left w:w="10" w:type="dxa"/>
              <w:bottom w:w="0" w:type="dxa"/>
              <w:right w:w="10" w:type="dxa"/>
            </w:tcMar>
          </w:tcPr>
          <w:p w:rsidR="004D40CE" w:rsidRDefault="004D40CE">
            <w:pPr>
              <w:pStyle w:val="Standard"/>
            </w:pPr>
          </w:p>
        </w:tc>
      </w:tr>
      <w:tr w:rsidR="004D40CE">
        <w:tc>
          <w:tcPr>
            <w:tcW w:w="19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spacing w:after="0" w:line="240" w:lineRule="auto"/>
            </w:pPr>
            <w:r>
              <w:t>Learning outcomes of the course</w:t>
            </w:r>
          </w:p>
        </w:tc>
        <w:tc>
          <w:tcPr>
            <w:tcW w:w="721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40CE" w:rsidRDefault="003B5133">
            <w:pPr>
              <w:pStyle w:val="Standard"/>
              <w:jc w:val="both"/>
              <w:rPr>
                <w:rFonts w:ascii="Arial" w:hAnsi="Arial" w:cs="Century Gothic"/>
                <w:sz w:val="20"/>
                <w:szCs w:val="20"/>
                <w:shd w:val="clear" w:color="auto" w:fill="FFFFFF"/>
                <w:lang w:val="fr-FR"/>
              </w:rPr>
            </w:pPr>
            <w:r>
              <w:rPr>
                <w:rFonts w:ascii="Arial" w:hAnsi="Arial" w:cs="Century Gothic"/>
                <w:sz w:val="20"/>
                <w:szCs w:val="20"/>
                <w:shd w:val="clear" w:color="auto" w:fill="FFFFFF"/>
                <w:lang w:val="fr-FR"/>
              </w:rPr>
              <w:t>Apporter les bases nécessaires lexicale et stylistique des textes littéraires étant donné que ces capacités sont indispensables à ceux qui sʾintéressent aux métiers de lʾenseignement ou qui se destinent à la recherche littéraire. Connaître et appliquer les différentes méthodes dans l’approche et l’analyse des textes majeurs de la littérature française du XIXe et du XXe siècles.</w:t>
            </w:r>
          </w:p>
          <w:p w:rsidR="004D40CE" w:rsidRDefault="004D40CE">
            <w:pPr>
              <w:pStyle w:val="Standard"/>
              <w:spacing w:before="120" w:after="120" w:line="240" w:lineRule="auto"/>
              <w:rPr>
                <w:rFonts w:ascii="Century Gothic" w:hAnsi="Century Gothic" w:cs="Century Gothic"/>
                <w:sz w:val="14"/>
                <w:szCs w:val="14"/>
                <w:shd w:val="clear" w:color="auto" w:fill="FFFFFF"/>
                <w:lang w:val="fr-FR"/>
              </w:rPr>
            </w:pPr>
          </w:p>
        </w:tc>
        <w:tc>
          <w:tcPr>
            <w:tcW w:w="77" w:type="dxa"/>
            <w:shd w:val="clear" w:color="auto" w:fill="auto"/>
            <w:tcMar>
              <w:top w:w="0" w:type="dxa"/>
              <w:left w:w="10" w:type="dxa"/>
              <w:bottom w:w="0" w:type="dxa"/>
              <w:right w:w="10" w:type="dxa"/>
            </w:tcMar>
          </w:tcPr>
          <w:p w:rsidR="004D40CE" w:rsidRDefault="004D40CE">
            <w:pPr>
              <w:pStyle w:val="Standard"/>
            </w:pPr>
          </w:p>
        </w:tc>
      </w:tr>
    </w:tbl>
    <w:p w:rsidR="004D40CE" w:rsidRDefault="003B5133">
      <w:pPr>
        <w:pStyle w:val="Standard"/>
      </w:pPr>
      <w:r>
        <w:t>The form should be filled out in English and/or other languages  that the courses  offered in Erasmus programme implement</w:t>
      </w:r>
    </w:p>
    <w:sectPr w:rsidR="004D40C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749" w:rsidRDefault="00E55749">
      <w:pPr>
        <w:spacing w:after="0" w:line="240" w:lineRule="auto"/>
      </w:pPr>
      <w:r>
        <w:separator/>
      </w:r>
    </w:p>
  </w:endnote>
  <w:endnote w:type="continuationSeparator" w:id="0">
    <w:p w:rsidR="00E55749" w:rsidRDefault="00E5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default"/>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749" w:rsidRDefault="00E55749">
      <w:pPr>
        <w:spacing w:after="0" w:line="240" w:lineRule="auto"/>
      </w:pPr>
      <w:r>
        <w:rPr>
          <w:color w:val="000000"/>
        </w:rPr>
        <w:separator/>
      </w:r>
    </w:p>
  </w:footnote>
  <w:footnote w:type="continuationSeparator" w:id="0">
    <w:p w:rsidR="00E55749" w:rsidRDefault="00E557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CE"/>
    <w:rsid w:val="003B5133"/>
    <w:rsid w:val="004D40CE"/>
    <w:rsid w:val="007810F8"/>
    <w:rsid w:val="00CA112F"/>
    <w:rsid w:val="00E557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27C1B-72CB-4664-97ED-37A28BB0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hr-H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sstepano@unizd.hr</dc:creator>
  <cp:lastModifiedBy>mbahnik@unizd.hr</cp:lastModifiedBy>
  <cp:revision>2</cp:revision>
  <cp:lastPrinted>2016-01-28T08:45:00Z</cp:lastPrinted>
  <dcterms:created xsi:type="dcterms:W3CDTF">2022-12-01T09:06:00Z</dcterms:created>
  <dcterms:modified xsi:type="dcterms:W3CDTF">2022-12-01T09:06:00Z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