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DE" w:rsidRPr="00E417B3" w:rsidRDefault="000D69DE" w:rsidP="000D69D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467"/>
        <w:gridCol w:w="270"/>
        <w:gridCol w:w="450"/>
        <w:gridCol w:w="239"/>
        <w:gridCol w:w="69"/>
        <w:gridCol w:w="234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0D69DE" w:rsidRPr="00E9767E" w:rsidTr="003F449D"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19"/>
            <w:vAlign w:val="center"/>
          </w:tcPr>
          <w:p w:rsidR="000D69DE" w:rsidRPr="00847720" w:rsidRDefault="000D69DE" w:rsidP="003F449D">
            <w:pPr>
              <w:spacing w:before="20" w:after="20"/>
              <w:rPr>
                <w:b/>
                <w:sz w:val="20"/>
              </w:rPr>
            </w:pPr>
            <w:r>
              <w:rPr>
                <w:b/>
                <w:sz w:val="20"/>
              </w:rPr>
              <w:t>Social network analysis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0D69DE" w:rsidRPr="00E9767E" w:rsidRDefault="000D69DE" w:rsidP="003F449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2020/2021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Study programme</w:t>
            </w:r>
          </w:p>
        </w:tc>
        <w:tc>
          <w:tcPr>
            <w:tcW w:w="5196" w:type="dxa"/>
            <w:gridSpan w:val="19"/>
            <w:vAlign w:val="center"/>
          </w:tcPr>
          <w:p w:rsidR="000D69DE" w:rsidRPr="00E9767E" w:rsidRDefault="000D69DE" w:rsidP="003F449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Sociology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0D69DE" w:rsidRPr="00E417B3" w:rsidRDefault="000D69DE" w:rsidP="003F449D">
            <w:pPr>
              <w:spacing w:before="20" w:after="20"/>
              <w:rPr>
                <w:sz w:val="20"/>
              </w:rPr>
            </w:pPr>
            <w:r w:rsidRPr="00E417B3">
              <w:rPr>
                <w:sz w:val="20"/>
              </w:rPr>
              <w:t>5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28"/>
            <w:shd w:val="clear" w:color="auto" w:fill="FFFFFF"/>
            <w:vAlign w:val="center"/>
          </w:tcPr>
          <w:p w:rsidR="000D69DE" w:rsidRPr="00E9767E" w:rsidRDefault="000D69DE" w:rsidP="003F449D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Department of Sociology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>Undergraduate</w:t>
            </w:r>
          </w:p>
        </w:tc>
        <w:tc>
          <w:tcPr>
            <w:tcW w:w="1531" w:type="dxa"/>
            <w:gridSpan w:val="7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  <w:szCs w:val="18"/>
              </w:rPr>
              <w:t xml:space="preserve"> Graduate</w:t>
            </w:r>
          </w:p>
        </w:tc>
        <w:tc>
          <w:tcPr>
            <w:tcW w:w="1936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0D69DE" w:rsidRPr="00E9767E" w:rsidRDefault="000D69DE" w:rsidP="003F449D">
            <w:pPr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>Postgraduate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729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E9767E">
              <w:rPr>
                <w:sz w:val="18"/>
                <w:szCs w:val="20"/>
              </w:rPr>
              <w:t>Single major</w:t>
            </w:r>
          </w:p>
          <w:p w:rsidR="000D69DE" w:rsidRPr="00E9767E" w:rsidRDefault="003E7D08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0D69DE" w:rsidRPr="00E9767E">
              <w:rPr>
                <w:sz w:val="18"/>
                <w:szCs w:val="20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  <w:szCs w:val="18"/>
              </w:rPr>
              <w:t xml:space="preserve"> University</w:t>
            </w:r>
          </w:p>
        </w:tc>
        <w:tc>
          <w:tcPr>
            <w:tcW w:w="1936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0D69DE" w:rsidRPr="00E9767E" w:rsidRDefault="000D69DE" w:rsidP="003F449D">
            <w:pPr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>Specialized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Year of study</w:t>
            </w:r>
          </w:p>
        </w:tc>
        <w:tc>
          <w:tcPr>
            <w:tcW w:w="1495" w:type="dxa"/>
            <w:gridSpan w:val="5"/>
            <w:shd w:val="clear" w:color="auto" w:fill="FFFFFF"/>
            <w:vAlign w:val="center"/>
          </w:tcPr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0D69DE" w:rsidRPr="00E9767E">
              <w:rPr>
                <w:sz w:val="18"/>
              </w:rPr>
              <w:t>1.</w:t>
            </w:r>
          </w:p>
        </w:tc>
        <w:tc>
          <w:tcPr>
            <w:tcW w:w="1498" w:type="dxa"/>
            <w:gridSpan w:val="6"/>
            <w:shd w:val="clear" w:color="auto" w:fill="FFFFFF"/>
            <w:vAlign w:val="center"/>
          </w:tcPr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0D69DE" w:rsidRPr="00E9767E">
              <w:rPr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5.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1187" w:type="dxa"/>
            <w:gridSpan w:val="3"/>
            <w:vMerge w:val="restart"/>
            <w:shd w:val="clear" w:color="auto" w:fill="auto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  <w:szCs w:val="20"/>
              </w:rPr>
              <w:t xml:space="preserve"> Winter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20"/>
              </w:rPr>
              <w:t>Summer</w:t>
            </w:r>
          </w:p>
        </w:tc>
        <w:tc>
          <w:tcPr>
            <w:tcW w:w="1163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</w:rPr>
              <w:t>II.</w:t>
            </w:r>
          </w:p>
        </w:tc>
        <w:tc>
          <w:tcPr>
            <w:tcW w:w="1284" w:type="dxa"/>
            <w:gridSpan w:val="4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V.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3"/>
            <w:vMerge/>
            <w:shd w:val="clear" w:color="auto" w:fill="auto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</w:p>
        </w:tc>
        <w:tc>
          <w:tcPr>
            <w:tcW w:w="1163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X.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  <w:szCs w:val="18"/>
              </w:rPr>
              <w:t>Status of the course</w:t>
            </w:r>
          </w:p>
        </w:tc>
        <w:tc>
          <w:tcPr>
            <w:tcW w:w="1187" w:type="dxa"/>
            <w:gridSpan w:val="3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20"/>
              </w:rPr>
              <w:t>Compulsory</w:t>
            </w:r>
          </w:p>
        </w:tc>
        <w:tc>
          <w:tcPr>
            <w:tcW w:w="1163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  <w:szCs w:val="20"/>
              </w:rPr>
              <w:t xml:space="preserve"> Elective</w:t>
            </w:r>
          </w:p>
        </w:tc>
        <w:tc>
          <w:tcPr>
            <w:tcW w:w="2568" w:type="dxa"/>
            <w:gridSpan w:val="9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20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b/>
                <w:sz w:val="18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  <w:szCs w:val="18"/>
              </w:rPr>
              <w:t xml:space="preserve"> YES </w:t>
            </w:r>
          </w:p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0D69DE" w:rsidRPr="00E9767E">
              <w:rPr>
                <w:sz w:val="18"/>
                <w:szCs w:val="18"/>
              </w:rPr>
              <w:t>NO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  <w:szCs w:val="18"/>
              </w:rPr>
            </w:pPr>
            <w:r w:rsidRPr="00E9767E">
              <w:rPr>
                <w:b/>
                <w:sz w:val="18"/>
              </w:rPr>
              <w:t xml:space="preserve"> Workload</w:t>
            </w:r>
          </w:p>
        </w:tc>
        <w:tc>
          <w:tcPr>
            <w:tcW w:w="467" w:type="dxa"/>
          </w:tcPr>
          <w:p w:rsidR="000D69DE" w:rsidRPr="00E9767E" w:rsidRDefault="000D69DE" w:rsidP="003F449D">
            <w:pPr>
              <w:spacing w:before="20" w:after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270" w:type="dxa"/>
          </w:tcPr>
          <w:p w:rsidR="000D69DE" w:rsidRPr="00E9767E" w:rsidRDefault="000D69DE" w:rsidP="003F449D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E9767E">
              <w:rPr>
                <w:b/>
                <w:sz w:val="18"/>
                <w:szCs w:val="20"/>
              </w:rPr>
              <w:t>L</w:t>
            </w:r>
          </w:p>
        </w:tc>
        <w:tc>
          <w:tcPr>
            <w:tcW w:w="450" w:type="dxa"/>
          </w:tcPr>
          <w:p w:rsidR="000D69DE" w:rsidRPr="00E9767E" w:rsidRDefault="000D69DE" w:rsidP="003F449D">
            <w:pPr>
              <w:spacing w:before="20" w:after="20"/>
              <w:jc w:val="center"/>
              <w:rPr>
                <w:sz w:val="18"/>
                <w:szCs w:val="20"/>
              </w:rPr>
            </w:pPr>
          </w:p>
        </w:tc>
        <w:tc>
          <w:tcPr>
            <w:tcW w:w="239" w:type="dxa"/>
          </w:tcPr>
          <w:p w:rsidR="000D69DE" w:rsidRPr="00E9767E" w:rsidRDefault="000D69DE" w:rsidP="003F449D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E9767E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532" w:type="dxa"/>
            <w:gridSpan w:val="3"/>
          </w:tcPr>
          <w:p w:rsidR="000D69DE" w:rsidRPr="00E9767E" w:rsidRDefault="000D69DE" w:rsidP="003F449D">
            <w:pPr>
              <w:spacing w:before="20" w:after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0D69DE" w:rsidRPr="00E9767E" w:rsidRDefault="000D69DE" w:rsidP="003F449D">
            <w:pPr>
              <w:spacing w:before="20" w:after="20"/>
              <w:jc w:val="center"/>
              <w:rPr>
                <w:b/>
                <w:sz w:val="18"/>
                <w:szCs w:val="20"/>
              </w:rPr>
            </w:pPr>
            <w:r w:rsidRPr="00E9767E">
              <w:rPr>
                <w:b/>
                <w:sz w:val="18"/>
                <w:szCs w:val="20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b/>
                <w:sz w:val="18"/>
              </w:rPr>
            </w:pPr>
            <w:r w:rsidRPr="00E9767E">
              <w:rPr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="000D69DE" w:rsidRPr="00E9767E">
              <w:rPr>
                <w:sz w:val="18"/>
                <w:szCs w:val="20"/>
              </w:rPr>
              <w:t xml:space="preserve">YES </w:t>
            </w:r>
          </w:p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="000D69DE" w:rsidRPr="00E9767E">
              <w:rPr>
                <w:sz w:val="18"/>
                <w:szCs w:val="20"/>
              </w:rPr>
              <w:t>NO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Location and time of instruction</w:t>
            </w:r>
          </w:p>
        </w:tc>
        <w:tc>
          <w:tcPr>
            <w:tcW w:w="2350" w:type="dxa"/>
            <w:gridSpan w:val="9"/>
            <w:vAlign w:val="center"/>
          </w:tcPr>
          <w:p w:rsidR="000D69DE" w:rsidRPr="00E417B3" w:rsidRDefault="000D69DE" w:rsidP="000D69DE">
            <w:pPr>
              <w:spacing w:before="20" w:after="20"/>
              <w:rPr>
                <w:sz w:val="18"/>
                <w:szCs w:val="20"/>
              </w:rPr>
            </w:pPr>
            <w:r w:rsidRPr="00E417B3">
              <w:rPr>
                <w:sz w:val="18"/>
                <w:szCs w:val="20"/>
              </w:rPr>
              <w:t>Stari kampus, Obala Kralja Petra Krešimira IV./2</w:t>
            </w:r>
            <w:r>
              <w:rPr>
                <w:sz w:val="18"/>
                <w:szCs w:val="20"/>
              </w:rPr>
              <w:t>, 121, 15-18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right"/>
              <w:rPr>
                <w:b/>
                <w:color w:val="FF0000"/>
                <w:sz w:val="18"/>
                <w:szCs w:val="20"/>
              </w:rPr>
            </w:pPr>
            <w:r w:rsidRPr="00E9767E">
              <w:rPr>
                <w:b/>
                <w:sz w:val="18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English</w:t>
            </w:r>
          </w:p>
        </w:tc>
      </w:tr>
      <w:tr w:rsidR="000D69DE" w:rsidRPr="00E9767E" w:rsidTr="003F449D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start date</w:t>
            </w:r>
          </w:p>
        </w:tc>
        <w:tc>
          <w:tcPr>
            <w:tcW w:w="2350" w:type="dxa"/>
            <w:gridSpan w:val="9"/>
            <w:vAlign w:val="center"/>
          </w:tcPr>
          <w:p w:rsidR="000D69DE" w:rsidRPr="00E417B3" w:rsidRDefault="000D69DE" w:rsidP="003F449D">
            <w:pPr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810/2020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right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0D69DE" w:rsidRPr="00E9767E" w:rsidRDefault="000D69DE" w:rsidP="000D69DE">
            <w:pPr>
              <w:tabs>
                <w:tab w:val="left" w:pos="1218"/>
              </w:tabs>
              <w:spacing w:before="20" w:after="2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21/01/2020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Enrolment requirements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Enrolment in graduate level programme</w:t>
            </w:r>
          </w:p>
        </w:tc>
      </w:tr>
      <w:tr w:rsidR="000D69DE" w:rsidRPr="00E9767E" w:rsidTr="003F449D">
        <w:tc>
          <w:tcPr>
            <w:tcW w:w="9288" w:type="dxa"/>
            <w:gridSpan w:val="29"/>
            <w:shd w:val="clear" w:color="auto" w:fill="D9D9D9"/>
          </w:tcPr>
          <w:p w:rsidR="000D69DE" w:rsidRPr="00E9767E" w:rsidRDefault="000D69DE" w:rsidP="003F449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coordinator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0D69DE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Dr Željka Tonković, Assistant Professor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jc w:val="right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zeljka.tonkovic</w:t>
            </w:r>
            <w:r w:rsidRPr="00E417B3">
              <w:rPr>
                <w:sz w:val="18"/>
              </w:rPr>
              <w:t>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D69DE" w:rsidRPr="00E9767E" w:rsidRDefault="000D69DE" w:rsidP="000D69DE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 14-15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instructor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Dr Željka Tonković, Assistant Professor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jc w:val="right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zeljka.tonkovic</w:t>
            </w:r>
            <w:r w:rsidRPr="00E417B3">
              <w:rPr>
                <w:sz w:val="18"/>
              </w:rPr>
              <w:t>@unizd.hr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Thursday 14-15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jc w:val="right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jc w:val="right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E-mail</w:t>
            </w:r>
          </w:p>
        </w:tc>
        <w:tc>
          <w:tcPr>
            <w:tcW w:w="3999" w:type="dxa"/>
            <w:gridSpan w:val="15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9288" w:type="dxa"/>
            <w:gridSpan w:val="29"/>
            <w:shd w:val="clear" w:color="auto" w:fill="D9D9D9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  <w:szCs w:val="18"/>
              </w:rPr>
            </w:pPr>
          </w:p>
        </w:tc>
      </w:tr>
      <w:tr w:rsidR="000D69DE" w:rsidRPr="00E9767E" w:rsidTr="003F449D">
        <w:tc>
          <w:tcPr>
            <w:tcW w:w="1801" w:type="dxa"/>
            <w:vMerge w:val="restart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Mode of teaching</w:t>
            </w:r>
          </w:p>
        </w:tc>
        <w:tc>
          <w:tcPr>
            <w:tcW w:w="1495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</w:rPr>
              <w:t xml:space="preserve"> Lectures</w:t>
            </w:r>
          </w:p>
        </w:tc>
        <w:tc>
          <w:tcPr>
            <w:tcW w:w="1498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☒</w:t>
            </w:r>
            <w:r w:rsidRPr="00E9767E">
              <w:rPr>
                <w:sz w:val="18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>Field work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>Individual assignments</w:t>
            </w:r>
          </w:p>
        </w:tc>
        <w:tc>
          <w:tcPr>
            <w:tcW w:w="1498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sz w:val="18"/>
              </w:rPr>
              <w:t>Other</w:t>
            </w:r>
          </w:p>
        </w:tc>
      </w:tr>
      <w:tr w:rsidR="000D69DE" w:rsidRPr="00E9767E" w:rsidTr="003F449D">
        <w:tc>
          <w:tcPr>
            <w:tcW w:w="3296" w:type="dxa"/>
            <w:gridSpan w:val="6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Learning outcomes</w:t>
            </w:r>
          </w:p>
        </w:tc>
        <w:tc>
          <w:tcPr>
            <w:tcW w:w="5992" w:type="dxa"/>
            <w:gridSpan w:val="23"/>
            <w:vAlign w:val="center"/>
          </w:tcPr>
          <w:p w:rsidR="000917A3" w:rsidRPr="000917A3" w:rsidRDefault="000917A3" w:rsidP="000917A3">
            <w:pPr>
              <w:jc w:val="both"/>
              <w:rPr>
                <w:sz w:val="20"/>
                <w:szCs w:val="20"/>
                <w:lang w:val="en-GB"/>
              </w:rPr>
            </w:pPr>
            <w:r w:rsidRPr="000917A3">
              <w:rPr>
                <w:sz w:val="20"/>
                <w:szCs w:val="20"/>
                <w:lang w:val="en-GB"/>
              </w:rPr>
              <w:t>After successful completion of the course the students will be able to:</w:t>
            </w:r>
          </w:p>
          <w:p w:rsidR="000917A3" w:rsidRPr="000917A3" w:rsidRDefault="000917A3" w:rsidP="000917A3">
            <w:pPr>
              <w:jc w:val="both"/>
              <w:rPr>
                <w:sz w:val="20"/>
                <w:szCs w:val="20"/>
                <w:lang w:val="en-GB"/>
              </w:rPr>
            </w:pPr>
          </w:p>
          <w:p w:rsidR="000917A3" w:rsidRPr="000917A3" w:rsidRDefault="000917A3" w:rsidP="000917A3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5760"/>
              </w:tabs>
              <w:rPr>
                <w:rFonts w:ascii="Times New Roman" w:hAnsi="Times New Roman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 xml:space="preserve">identify key network concepts and principles; </w:t>
            </w:r>
          </w:p>
          <w:p w:rsidR="000917A3" w:rsidRPr="000917A3" w:rsidRDefault="000917A3" w:rsidP="000917A3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5760"/>
              </w:tabs>
              <w:rPr>
                <w:rFonts w:ascii="Times New Roman" w:hAnsi="Times New Roman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 xml:space="preserve">understand the foundation of data collection, measurement, and computer analysis techniques; </w:t>
            </w:r>
          </w:p>
          <w:p w:rsidR="000917A3" w:rsidRPr="000917A3" w:rsidRDefault="000917A3" w:rsidP="000917A3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5760"/>
              </w:tabs>
              <w:rPr>
                <w:rFonts w:ascii="Times New Roman" w:hAnsi="Times New Roman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>discuss different applications of social network analysis in sociology and related disciplines;</w:t>
            </w:r>
          </w:p>
          <w:p w:rsidR="000917A3" w:rsidRPr="000917A3" w:rsidRDefault="000917A3" w:rsidP="000917A3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5760"/>
              </w:tabs>
              <w:rPr>
                <w:rFonts w:ascii="Times New Roman" w:hAnsi="Times New Roman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>perform basic network analyses of previously collected datasets;</w:t>
            </w:r>
          </w:p>
          <w:p w:rsidR="000917A3" w:rsidRPr="000917A3" w:rsidRDefault="000917A3" w:rsidP="000917A3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clear" w:pos="5760"/>
              </w:tabs>
              <w:rPr>
                <w:rFonts w:ascii="Arial" w:hAnsi="Arial" w:cs="Arial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>apply appropriate concepts and measures of social network analysis on specific cases of their own choice.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3296" w:type="dxa"/>
            <w:gridSpan w:val="6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Learning outcomes at the Programme level</w:t>
            </w:r>
          </w:p>
        </w:tc>
        <w:tc>
          <w:tcPr>
            <w:tcW w:w="5992" w:type="dxa"/>
            <w:gridSpan w:val="2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rPr>
                <w:sz w:val="18"/>
              </w:rPr>
            </w:pPr>
          </w:p>
        </w:tc>
      </w:tr>
      <w:tr w:rsidR="000D69DE" w:rsidRPr="00E9767E" w:rsidTr="003F449D">
        <w:tc>
          <w:tcPr>
            <w:tcW w:w="9288" w:type="dxa"/>
            <w:gridSpan w:val="29"/>
            <w:shd w:val="clear" w:color="auto" w:fill="D9D9D9"/>
          </w:tcPr>
          <w:p w:rsidR="000D69DE" w:rsidRPr="00E9767E" w:rsidRDefault="000D69DE" w:rsidP="003F449D">
            <w:pPr>
              <w:spacing w:before="20" w:after="20"/>
              <w:rPr>
                <w:sz w:val="18"/>
                <w:szCs w:val="20"/>
              </w:rPr>
            </w:pPr>
          </w:p>
        </w:tc>
      </w:tr>
      <w:tr w:rsidR="000D69DE" w:rsidRPr="00E9767E" w:rsidTr="003F449D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lastRenderedPageBreak/>
              <w:t xml:space="preserve">Assessment criteria </w:t>
            </w:r>
          </w:p>
        </w:tc>
        <w:tc>
          <w:tcPr>
            <w:tcW w:w="1495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Pr="00E9767E">
              <w:rPr>
                <w:sz w:val="18"/>
              </w:rPr>
              <w:t xml:space="preserve"> Class attendance</w:t>
            </w:r>
          </w:p>
        </w:tc>
        <w:tc>
          <w:tcPr>
            <w:tcW w:w="1498" w:type="dxa"/>
            <w:gridSpan w:val="6"/>
            <w:vAlign w:val="center"/>
          </w:tcPr>
          <w:p w:rsidR="000D69DE" w:rsidRPr="00E9767E" w:rsidRDefault="004C177F" w:rsidP="003F449D">
            <w:pPr>
              <w:tabs>
                <w:tab w:val="left" w:pos="1218"/>
              </w:tabs>
              <w:spacing w:before="20" w:after="20"/>
              <w:rPr>
                <w:sz w:val="18"/>
                <w:vertAlign w:val="superscript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0D69DE" w:rsidRPr="00E9767E" w:rsidRDefault="004C177F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0D69DE" w:rsidRPr="00E9767E" w:rsidRDefault="004C177F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Research</w:t>
            </w:r>
          </w:p>
        </w:tc>
      </w:tr>
      <w:tr w:rsidR="000D69DE" w:rsidRPr="00E9767E" w:rsidTr="003F449D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Practical work</w:t>
            </w:r>
          </w:p>
        </w:tc>
        <w:tc>
          <w:tcPr>
            <w:tcW w:w="1498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6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0D69DE" w:rsidRPr="00E9767E" w:rsidRDefault="004C177F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0D69DE" w:rsidRPr="00E9767E" w:rsidRDefault="00D5705A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 xml:space="preserve"> Seminar</w:t>
            </w:r>
          </w:p>
        </w:tc>
      </w:tr>
      <w:tr w:rsidR="000D69DE" w:rsidRPr="00E9767E" w:rsidTr="003F449D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</w:rPr>
              <w:t>Test(s)</w:t>
            </w:r>
          </w:p>
        </w:tc>
        <w:tc>
          <w:tcPr>
            <w:tcW w:w="1498" w:type="dxa"/>
            <w:gridSpan w:val="6"/>
            <w:vAlign w:val="center"/>
          </w:tcPr>
          <w:p w:rsidR="000D69DE" w:rsidRPr="00E9767E" w:rsidRDefault="00D5705A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="000D69DE" w:rsidRPr="00E9767E">
              <w:rPr>
                <w:sz w:val="18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Other: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Conditions for permission to take the exam</w:t>
            </w:r>
          </w:p>
        </w:tc>
        <w:tc>
          <w:tcPr>
            <w:tcW w:w="7487" w:type="dxa"/>
            <w:gridSpan w:val="28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>
              <w:rPr>
                <w:rFonts w:eastAsia="MS Gothic"/>
                <w:sz w:val="18"/>
              </w:rPr>
              <w:t>A</w:t>
            </w:r>
            <w:r w:rsidRPr="004605E7">
              <w:rPr>
                <w:rFonts w:eastAsia="MS Gothic"/>
                <w:sz w:val="18"/>
              </w:rPr>
              <w:t>ttend</w:t>
            </w:r>
            <w:r>
              <w:rPr>
                <w:rFonts w:eastAsia="MS Gothic"/>
                <w:sz w:val="18"/>
              </w:rPr>
              <w:t>ing</w:t>
            </w:r>
            <w:r w:rsidRPr="004605E7">
              <w:rPr>
                <w:rFonts w:eastAsia="MS Gothic"/>
                <w:sz w:val="18"/>
              </w:rPr>
              <w:t xml:space="preserve"> classes, at least 70%.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Exam periods</w:t>
            </w:r>
          </w:p>
        </w:tc>
        <w:tc>
          <w:tcPr>
            <w:tcW w:w="2903" w:type="dxa"/>
            <w:gridSpan w:val="10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C876F3">
              <w:rPr>
                <w:rFonts w:ascii="MS Mincho" w:eastAsia="MS Mincho" w:hAnsi="MS Mincho" w:cs="MS Mincho"/>
                <w:sz w:val="18"/>
              </w:rPr>
              <w:t>☒</w:t>
            </w:r>
            <w:r w:rsidRPr="00E9767E">
              <w:rPr>
                <w:sz w:val="18"/>
              </w:rPr>
              <w:t>Winter</w:t>
            </w:r>
          </w:p>
        </w:tc>
        <w:tc>
          <w:tcPr>
            <w:tcW w:w="2471" w:type="dxa"/>
            <w:gridSpan w:val="10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sz w:val="18"/>
              </w:rPr>
              <w:t>Summer</w:t>
            </w:r>
          </w:p>
        </w:tc>
        <w:tc>
          <w:tcPr>
            <w:tcW w:w="2113" w:type="dxa"/>
            <w:gridSpan w:val="8"/>
          </w:tcPr>
          <w:p w:rsidR="000D69DE" w:rsidRPr="00E9767E" w:rsidRDefault="004C177F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</w:rPr>
              <w:t>Autumn</w:t>
            </w:r>
            <w:r w:rsidR="000D69DE" w:rsidRPr="00E9767E">
              <w:rPr>
                <w:sz w:val="18"/>
              </w:rPr>
              <w:softHyphen/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Exam dates</w:t>
            </w:r>
          </w:p>
        </w:tc>
        <w:tc>
          <w:tcPr>
            <w:tcW w:w="2903" w:type="dxa"/>
            <w:gridSpan w:val="10"/>
            <w:vAlign w:val="center"/>
          </w:tcPr>
          <w:p w:rsidR="000D69DE" w:rsidRDefault="004C177F" w:rsidP="00374E47">
            <w:pPr>
              <w:tabs>
                <w:tab w:val="left" w:pos="121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4E47">
              <w:rPr>
                <w:sz w:val="20"/>
                <w:szCs w:val="20"/>
              </w:rPr>
              <w:t>7/</w:t>
            </w:r>
            <w:r w:rsidR="000D69DE" w:rsidRPr="002527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0D69DE" w:rsidRPr="002527C7">
              <w:rPr>
                <w:sz w:val="20"/>
                <w:szCs w:val="20"/>
              </w:rPr>
              <w:t>/2021</w:t>
            </w:r>
          </w:p>
          <w:p w:rsidR="00374E47" w:rsidRPr="002527C7" w:rsidRDefault="00374E47" w:rsidP="00374E47">
            <w:pPr>
              <w:tabs>
                <w:tab w:val="left" w:pos="121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10/2/2021</w:t>
            </w:r>
          </w:p>
        </w:tc>
        <w:tc>
          <w:tcPr>
            <w:tcW w:w="2471" w:type="dxa"/>
            <w:gridSpan w:val="10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</w:p>
        </w:tc>
        <w:tc>
          <w:tcPr>
            <w:tcW w:w="2113" w:type="dxa"/>
            <w:gridSpan w:val="8"/>
            <w:vAlign w:val="center"/>
          </w:tcPr>
          <w:p w:rsidR="000D69DE" w:rsidRDefault="00374E47" w:rsidP="003F449D">
            <w:pPr>
              <w:tabs>
                <w:tab w:val="left" w:pos="121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1/9/2021</w:t>
            </w:r>
          </w:p>
          <w:p w:rsidR="00374E47" w:rsidRPr="002527C7" w:rsidRDefault="00374E47" w:rsidP="003F449D">
            <w:pPr>
              <w:tabs>
                <w:tab w:val="left" w:pos="1218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15/9/2021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description</w:t>
            </w:r>
          </w:p>
        </w:tc>
        <w:tc>
          <w:tcPr>
            <w:tcW w:w="7487" w:type="dxa"/>
            <w:gridSpan w:val="28"/>
          </w:tcPr>
          <w:p w:rsidR="000D69DE" w:rsidRPr="00492C30" w:rsidRDefault="000917A3" w:rsidP="000917A3">
            <w:pPr>
              <w:pStyle w:val="BodyText2"/>
              <w:tabs>
                <w:tab w:val="clear" w:pos="720"/>
                <w:tab w:val="clear" w:pos="5760"/>
              </w:tabs>
              <w:rPr>
                <w:rFonts w:eastAsia="MS Gothic"/>
                <w:sz w:val="20"/>
              </w:rPr>
            </w:pPr>
            <w:r w:rsidRPr="000917A3">
              <w:rPr>
                <w:rFonts w:ascii="Times New Roman" w:hAnsi="Times New Roman"/>
                <w:sz w:val="20"/>
              </w:rPr>
              <w:t xml:space="preserve">The course will introduce social network analysis to graduate students, emphasizing its theoretical and methodological foundations. With a focus on the relationships between actors rather than on their attributes,  social network analysis is </w:t>
            </w:r>
            <w:r w:rsidRPr="000917A3">
              <w:rPr>
                <w:rStyle w:val="A2"/>
                <w:rFonts w:ascii="Times New Roman" w:hAnsi="Times New Roman"/>
                <w:sz w:val="20"/>
                <w:szCs w:val="20"/>
              </w:rPr>
              <w:t xml:space="preserve">an approach that comprises of methods and techniques allowing accurate description, measuring and visualizations of the social structures. </w:t>
            </w:r>
            <w:r w:rsidRPr="000917A3">
              <w:rPr>
                <w:rFonts w:ascii="Times New Roman" w:hAnsi="Times New Roman"/>
                <w:sz w:val="20"/>
              </w:rPr>
              <w:t>Social network analysis spans a diverse range of phenomena from personal networks and small groups to organizational relations and world-system networks. Beside that, n</w:t>
            </w:r>
            <w:r w:rsidRPr="000917A3">
              <w:rPr>
                <w:rFonts w:ascii="Times New Roman" w:hAnsi="Times New Roman"/>
                <w:sz w:val="20"/>
                <w:lang w:val="en-GB"/>
              </w:rPr>
              <w:t xml:space="preserve">ew approaches in the network analysis enable researchers to simultaneously study social relations that constitute the network, and discourses, meanings  and themes that occur within network structure. The course will consequently </w:t>
            </w:r>
            <w:r w:rsidRPr="000917A3">
              <w:rPr>
                <w:rFonts w:ascii="Times New Roman" w:hAnsi="Times New Roman"/>
                <w:sz w:val="20"/>
              </w:rPr>
              <w:t xml:space="preserve">concentrate on different levels of network analysis, including topics such as personal networks and social support, social capital, intra- and interorganizational relations, social movements and collective action, political networks and networks in art and culture. </w:t>
            </w:r>
            <w:r w:rsidR="000D69DE" w:rsidRPr="00492C30">
              <w:rPr>
                <w:sz w:val="20"/>
                <w:lang w:val="en-GB"/>
              </w:rPr>
              <w:t xml:space="preserve">  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AC48D2">
              <w:rPr>
                <w:b/>
                <w:sz w:val="18"/>
              </w:rPr>
              <w:t>Course content</w:t>
            </w:r>
          </w:p>
        </w:tc>
        <w:tc>
          <w:tcPr>
            <w:tcW w:w="7487" w:type="dxa"/>
            <w:gridSpan w:val="28"/>
          </w:tcPr>
          <w:p w:rsidR="000D69DE" w:rsidRPr="003E7D08" w:rsidRDefault="0054437B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 w:rsidRPr="003E7D08">
              <w:rPr>
                <w:rFonts w:eastAsia="MS Gothic"/>
                <w:sz w:val="20"/>
                <w:szCs w:val="20"/>
              </w:rPr>
              <w:t>I</w:t>
            </w:r>
            <w:r w:rsidR="000D69DE" w:rsidRPr="003E7D08">
              <w:rPr>
                <w:rFonts w:eastAsia="MS Gothic"/>
                <w:sz w:val="20"/>
                <w:szCs w:val="20"/>
              </w:rPr>
              <w:t>ntroduction to the course</w:t>
            </w:r>
            <w:r w:rsidR="00970A2D">
              <w:rPr>
                <w:rFonts w:eastAsia="MS Gothic"/>
                <w:sz w:val="20"/>
                <w:szCs w:val="20"/>
              </w:rPr>
              <w:t>,</w:t>
            </w:r>
            <w:r w:rsidR="000D69DE" w:rsidRPr="003E7D08">
              <w:rPr>
                <w:rFonts w:eastAsia="MS Gothic"/>
                <w:sz w:val="20"/>
                <w:szCs w:val="20"/>
              </w:rPr>
              <w:t xml:space="preserve"> </w:t>
            </w:r>
            <w:r w:rsidR="003E7D08" w:rsidRPr="003E7D08">
              <w:rPr>
                <w:rFonts w:eastAsia="MS Gothic"/>
                <w:sz w:val="20"/>
                <w:szCs w:val="20"/>
              </w:rPr>
              <w:t>15</w:t>
            </w:r>
            <w:r w:rsidR="000D69DE" w:rsidRPr="003E7D08">
              <w:rPr>
                <w:rFonts w:eastAsia="MS Gothic"/>
                <w:sz w:val="20"/>
                <w:szCs w:val="20"/>
              </w:rPr>
              <w:t xml:space="preserve">.10. 2020. </w:t>
            </w:r>
          </w:p>
          <w:p w:rsidR="003E7D08" w:rsidRDefault="00AC48D2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Basic concepts and theoretical foundations, </w:t>
            </w:r>
            <w:r w:rsidR="003E7D08">
              <w:rPr>
                <w:rFonts w:eastAsia="MS Gothic"/>
                <w:sz w:val="20"/>
                <w:szCs w:val="20"/>
              </w:rPr>
              <w:t>22.10.2020.</w:t>
            </w:r>
            <w:r w:rsidR="00AF66BE">
              <w:rPr>
                <w:rFonts w:eastAsia="MS Gothic"/>
                <w:sz w:val="20"/>
                <w:szCs w:val="20"/>
              </w:rPr>
              <w:t xml:space="preserve"> </w:t>
            </w:r>
          </w:p>
          <w:p w:rsidR="003E7D08" w:rsidRDefault="00AC48D2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Network structures, centrality and subgroups, </w:t>
            </w:r>
            <w:r w:rsidR="003E7D08">
              <w:rPr>
                <w:rFonts w:eastAsia="MS Gothic"/>
                <w:sz w:val="20"/>
                <w:szCs w:val="20"/>
              </w:rPr>
              <w:t>29.10.2020.</w:t>
            </w:r>
          </w:p>
          <w:p w:rsidR="003E7D08" w:rsidRDefault="009E2D9C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Personal networks, social support and social capital </w:t>
            </w:r>
            <w:r w:rsidR="003E7D08">
              <w:rPr>
                <w:rFonts w:eastAsia="MS Gothic"/>
                <w:sz w:val="20"/>
                <w:szCs w:val="20"/>
              </w:rPr>
              <w:t>5.11.2020.</w:t>
            </w:r>
          </w:p>
          <w:p w:rsidR="003E7D08" w:rsidRDefault="009E2D9C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Small worlds, circles and communities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12.11.2020.</w:t>
            </w:r>
          </w:p>
          <w:p w:rsidR="003E7D08" w:rsidRDefault="009E2D9C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Research design, data collection and measurement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19.11.2020.</w:t>
            </w:r>
          </w:p>
          <w:p w:rsidR="003E7D08" w:rsidRDefault="00915644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Influence and diffusion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26.11.2020.</w:t>
            </w:r>
          </w:p>
          <w:p w:rsidR="003E7D08" w:rsidRDefault="00915644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Networks in culture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3.12.2020.</w:t>
            </w:r>
          </w:p>
          <w:p w:rsidR="003E7D08" w:rsidRDefault="00915644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Networks in politics and social movements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10.12.2020.</w:t>
            </w:r>
          </w:p>
          <w:p w:rsidR="003E7D08" w:rsidRDefault="00915644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Economic networks and world-system networks</w:t>
            </w:r>
            <w:r w:rsidR="00AC48D2">
              <w:rPr>
                <w:rFonts w:eastAsia="MS Gothic"/>
                <w:sz w:val="20"/>
                <w:szCs w:val="20"/>
              </w:rPr>
              <w:t xml:space="preserve">, </w:t>
            </w:r>
            <w:r w:rsidR="003E7D08">
              <w:rPr>
                <w:rFonts w:eastAsia="MS Gothic"/>
                <w:sz w:val="20"/>
                <w:szCs w:val="20"/>
              </w:rPr>
              <w:t>17.12.2020.</w:t>
            </w:r>
          </w:p>
          <w:p w:rsidR="003E7D08" w:rsidRDefault="00AC48D2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Narratives, structures and semantic networks, </w:t>
            </w:r>
            <w:r w:rsidR="003E7D08">
              <w:rPr>
                <w:rFonts w:eastAsia="MS Gothic"/>
                <w:sz w:val="20"/>
                <w:szCs w:val="20"/>
              </w:rPr>
              <w:t>7.1.2020.</w:t>
            </w:r>
          </w:p>
          <w:p w:rsidR="003E7D08" w:rsidRDefault="00AC48D2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Relational sociology and action, </w:t>
            </w:r>
            <w:r w:rsidR="003E7D08">
              <w:rPr>
                <w:rFonts w:eastAsia="MS Gothic"/>
                <w:sz w:val="20"/>
                <w:szCs w:val="20"/>
              </w:rPr>
              <w:t>14.1.2020.</w:t>
            </w:r>
          </w:p>
          <w:p w:rsidR="003E7D08" w:rsidRPr="003E7D08" w:rsidRDefault="00970A2D" w:rsidP="003E7D0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Final discussion, </w:t>
            </w:r>
            <w:r w:rsidR="003E7D08">
              <w:rPr>
                <w:rFonts w:eastAsia="MS Gothic"/>
                <w:sz w:val="20"/>
                <w:szCs w:val="20"/>
              </w:rPr>
              <w:t>21.1.2020.</w:t>
            </w:r>
          </w:p>
          <w:p w:rsidR="000D69DE" w:rsidRPr="00F76BE6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>
              <w:rPr>
                <w:rFonts w:eastAsia="MS Gothic"/>
                <w:sz w:val="18"/>
              </w:rPr>
              <w:t xml:space="preserve"> 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D00D6">
              <w:rPr>
                <w:b/>
                <w:sz w:val="18"/>
              </w:rPr>
              <w:t>Required reading</w:t>
            </w:r>
          </w:p>
        </w:tc>
        <w:tc>
          <w:tcPr>
            <w:tcW w:w="7487" w:type="dxa"/>
            <w:gridSpan w:val="28"/>
          </w:tcPr>
          <w:p w:rsidR="00661665" w:rsidRPr="00ED00D6" w:rsidRDefault="00ED00D6" w:rsidP="00F360D3">
            <w:p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>Selected chapters from</w:t>
            </w:r>
            <w:r w:rsidR="00661665" w:rsidRPr="00ED00D6">
              <w:rPr>
                <w:rFonts w:eastAsia="MS Gothic"/>
                <w:sz w:val="18"/>
                <w:szCs w:val="18"/>
              </w:rPr>
              <w:t xml:space="preserve"> </w:t>
            </w:r>
            <w:r w:rsidR="00F360D3" w:rsidRPr="00ED00D6">
              <w:rPr>
                <w:rFonts w:eastAsia="MS Gothic"/>
                <w:sz w:val="18"/>
                <w:szCs w:val="18"/>
              </w:rPr>
              <w:t xml:space="preserve">Scott, J., Carrington, P. J. (ed.) (2011). </w:t>
            </w:r>
            <w:r w:rsidR="00F360D3" w:rsidRPr="00ED00D6">
              <w:rPr>
                <w:rFonts w:eastAsia="MS Gothic"/>
                <w:i/>
                <w:sz w:val="18"/>
                <w:szCs w:val="18"/>
              </w:rPr>
              <w:t>The Sage Handbook of Social Network Analysis</w:t>
            </w:r>
            <w:r w:rsidR="00661665" w:rsidRPr="00ED00D6">
              <w:rPr>
                <w:rFonts w:eastAsia="MS Gothic"/>
                <w:sz w:val="18"/>
                <w:szCs w:val="18"/>
              </w:rPr>
              <w:t>. Los Angeles, London: Sage</w:t>
            </w:r>
            <w:r w:rsidRPr="00ED00D6">
              <w:rPr>
                <w:rFonts w:eastAsia="MS Gothic"/>
                <w:sz w:val="18"/>
                <w:szCs w:val="18"/>
              </w:rPr>
              <w:t>.</w:t>
            </w:r>
          </w:p>
          <w:p w:rsidR="00661665" w:rsidRPr="00ED00D6" w:rsidRDefault="00661665" w:rsidP="00F360D3">
            <w:pPr>
              <w:rPr>
                <w:rFonts w:eastAsia="MS Gothic"/>
                <w:sz w:val="18"/>
                <w:szCs w:val="18"/>
              </w:rPr>
            </w:pPr>
          </w:p>
          <w:p w:rsidR="000D69DE" w:rsidRPr="00ED00D6" w:rsidRDefault="00661665" w:rsidP="00ED00D6">
            <w:pPr>
              <w:pStyle w:val="ListParagraph"/>
              <w:numPr>
                <w:ilvl w:val="0"/>
                <w:numId w:val="8"/>
              </w:num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 xml:space="preserve">Mische, A. </w:t>
            </w:r>
            <w:r w:rsidR="00ED00D6" w:rsidRPr="00ED00D6">
              <w:rPr>
                <w:rFonts w:eastAsia="MS Gothic"/>
                <w:sz w:val="18"/>
                <w:szCs w:val="18"/>
              </w:rPr>
              <w:t>“</w:t>
            </w:r>
            <w:r w:rsidRPr="00ED00D6">
              <w:rPr>
                <w:rFonts w:eastAsia="MS Gothic"/>
                <w:sz w:val="18"/>
                <w:szCs w:val="18"/>
              </w:rPr>
              <w:t>Relational Sociology, Culture and Agency</w:t>
            </w:r>
            <w:r w:rsidR="00ED00D6" w:rsidRPr="00ED00D6">
              <w:rPr>
                <w:rFonts w:eastAsia="MS Gothic"/>
                <w:sz w:val="18"/>
                <w:szCs w:val="18"/>
              </w:rPr>
              <w:t>”</w:t>
            </w:r>
            <w:r w:rsidRPr="00ED00D6">
              <w:rPr>
                <w:rFonts w:eastAsia="MS Gothic"/>
                <w:sz w:val="18"/>
                <w:szCs w:val="18"/>
              </w:rPr>
              <w:t xml:space="preserve">, pp. 80-98. </w:t>
            </w:r>
          </w:p>
          <w:p w:rsidR="00ED00D6" w:rsidRPr="00ED00D6" w:rsidRDefault="00ED00D6" w:rsidP="00ED00D6">
            <w:pPr>
              <w:pStyle w:val="ListParagraph"/>
              <w:numPr>
                <w:ilvl w:val="0"/>
                <w:numId w:val="8"/>
              </w:num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>Chua, V., Madej, J., Wellman, B. “Personal comunities: the world according to me”, pp. 101-115.</w:t>
            </w:r>
          </w:p>
          <w:p w:rsidR="00ED00D6" w:rsidRPr="00ED00D6" w:rsidRDefault="00ED00D6" w:rsidP="00ED00D6">
            <w:pPr>
              <w:pStyle w:val="ListParagraph"/>
              <w:numPr>
                <w:ilvl w:val="0"/>
                <w:numId w:val="8"/>
              </w:num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>Song, L., Son, J. Lin, N. “Social support”, pp. 116-121.</w:t>
            </w:r>
          </w:p>
          <w:p w:rsidR="00ED00D6" w:rsidRPr="00ED00D6" w:rsidRDefault="00ED00D6" w:rsidP="00ED00D6">
            <w:pPr>
              <w:pStyle w:val="ListParagraph"/>
              <w:numPr>
                <w:ilvl w:val="0"/>
                <w:numId w:val="8"/>
              </w:num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>Diani, M. “Social movements and collective action”, pp. 223-236.</w:t>
            </w:r>
          </w:p>
          <w:p w:rsidR="00ED00D6" w:rsidRPr="00ED00D6" w:rsidRDefault="00ED00D6" w:rsidP="00ED00D6">
            <w:pPr>
              <w:pStyle w:val="ListParagraph"/>
              <w:numPr>
                <w:ilvl w:val="0"/>
                <w:numId w:val="8"/>
              </w:numPr>
              <w:rPr>
                <w:rFonts w:eastAsia="MS Gothic"/>
                <w:sz w:val="18"/>
                <w:szCs w:val="18"/>
              </w:rPr>
            </w:pPr>
            <w:r w:rsidRPr="00ED00D6">
              <w:rPr>
                <w:rFonts w:eastAsia="MS Gothic"/>
                <w:sz w:val="18"/>
                <w:szCs w:val="18"/>
              </w:rPr>
              <w:t>Kich, E., L., McKinney, L. A., McDonald, S., Jorgenson, A., “A multiple network analysis of the world system of nations”, 1995-1999. , pp. 311-327.</w:t>
            </w:r>
          </w:p>
          <w:p w:rsidR="00ED00D6" w:rsidRPr="00ED00D6" w:rsidRDefault="00ED00D6" w:rsidP="00F360D3">
            <w:pPr>
              <w:rPr>
                <w:rFonts w:eastAsia="MS Gothic"/>
                <w:sz w:val="18"/>
                <w:szCs w:val="18"/>
              </w:rPr>
            </w:pPr>
          </w:p>
          <w:p w:rsidR="00254295" w:rsidRPr="00ED00D6" w:rsidRDefault="00254295" w:rsidP="00254295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Kadushin, Ch. (2012).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 xml:space="preserve">Understanding Social Networks. Theories, Concepts and Findings. 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Ne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w York: Oxford University Press, pp. 13-55.</w:t>
            </w:r>
          </w:p>
          <w:p w:rsidR="0061521A" w:rsidRPr="00ED00D6" w:rsidRDefault="0061521A" w:rsidP="00254295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61521A" w:rsidRPr="00ED00D6" w:rsidRDefault="0061521A" w:rsidP="0061521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Prell, C. (2012).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Social Network Analysis. History, Theory &amp; Methodology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 London: Sage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, pp. 59-91.</w:t>
            </w:r>
          </w:p>
          <w:p w:rsidR="00F360D3" w:rsidRDefault="00F360D3" w:rsidP="00F360D3">
            <w:pPr>
              <w:rPr>
                <w:rFonts w:eastAsia="MS Gothic"/>
                <w:sz w:val="18"/>
                <w:szCs w:val="18"/>
              </w:rPr>
            </w:pPr>
          </w:p>
          <w:p w:rsidR="00F360D3" w:rsidRPr="00ED00D6" w:rsidRDefault="00F360D3" w:rsidP="00F360D3">
            <w:pPr>
              <w:rPr>
                <w:rFonts w:eastAsia="MS Gothi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Additional reading</w:t>
            </w:r>
          </w:p>
        </w:tc>
        <w:tc>
          <w:tcPr>
            <w:tcW w:w="7487" w:type="dxa"/>
            <w:gridSpan w:val="28"/>
          </w:tcPr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Burt, R. S. (2004). „Structural Holes and Good Ideas“.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American Journal of Sociology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, 110(2): 349-399.  </w:t>
            </w:r>
          </w:p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Burt, R. S. (1992)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Structural Holes. The Social Structure of Competition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. Cambridge, MA: Cambridge University Press. </w:t>
            </w:r>
          </w:p>
          <w:p w:rsidR="0061521A" w:rsidRPr="00ED00D6" w:rsidRDefault="0061521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61521A" w:rsidRPr="00ED00D6" w:rsidRDefault="0061521A" w:rsidP="0061521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Granovetter, M. (1973). „The Strength of Weak Ties“.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American Journal of Sociology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, 78:1360-1380.</w:t>
            </w:r>
          </w:p>
          <w:p w:rsidR="00D031DF" w:rsidRPr="00ED00D6" w:rsidRDefault="00D031DF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D031DF" w:rsidRPr="00ED00D6" w:rsidRDefault="00D031DF" w:rsidP="00D031DF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Kadushin, Ch. (2012).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 xml:space="preserve">Understanding Social Networks. Theories, Concepts and Findings. 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New York: Oxford University Press.</w:t>
            </w:r>
          </w:p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000000" w:rsidRPr="00ED00D6" w:rsidRDefault="003F707C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Knoke, D. i Yang, S. (2008[1982]).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Social Network Analysis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 Thousand Oaks: Sage.</w:t>
            </w:r>
          </w:p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000000" w:rsidRPr="00ED00D6" w:rsidRDefault="003F707C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>Prell, C</w:t>
            </w:r>
            <w:r w:rsidR="00253806" w:rsidRPr="00ED00D6">
              <w:rPr>
                <w:rFonts w:eastAsia="MS Gothic"/>
                <w:sz w:val="18"/>
                <w:szCs w:val="18"/>
                <w:lang w:val="hr-HR"/>
              </w:rPr>
              <w:t>.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 (2012).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Social Network Analysis. History, T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heory &amp; Methodology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 London: Sage</w:t>
            </w:r>
          </w:p>
          <w:p w:rsidR="00D2693A" w:rsidRPr="00ED00D6" w:rsidRDefault="00D2693A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000000" w:rsidRPr="00ED00D6" w:rsidRDefault="003F707C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>Scott, J</w:t>
            </w:r>
            <w:r w:rsidR="00253806" w:rsidRPr="00ED00D6">
              <w:rPr>
                <w:rFonts w:eastAsia="MS Gothic"/>
                <w:sz w:val="18"/>
                <w:szCs w:val="18"/>
                <w:lang w:val="hr-HR"/>
              </w:rPr>
              <w:t>.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 (2009).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Social Network Analysis: A Handbook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 Thousand Oaks, CA: Sage.</w:t>
            </w:r>
          </w:p>
          <w:p w:rsidR="00000000" w:rsidRPr="00ED00D6" w:rsidRDefault="003F707C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</w:p>
          <w:p w:rsidR="00000000" w:rsidRPr="00ED00D6" w:rsidRDefault="00253806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i/>
                <w:iCs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Schich, M. i dr. </w:t>
            </w:r>
            <w:r w:rsidR="003F707C" w:rsidRPr="00ED00D6">
              <w:rPr>
                <w:rFonts w:eastAsia="MS Gothic"/>
                <w:sz w:val="18"/>
                <w:szCs w:val="18"/>
                <w:lang w:val="hr-HR"/>
              </w:rPr>
              <w:t>(2014)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</w:t>
            </w:r>
            <w:r w:rsidR="003F707C" w:rsidRPr="00ED00D6">
              <w:rPr>
                <w:rFonts w:eastAsia="MS Gothic"/>
                <w:sz w:val="18"/>
                <w:szCs w:val="18"/>
                <w:lang w:val="hr-HR"/>
              </w:rPr>
              <w:t xml:space="preserve"> 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„</w:t>
            </w:r>
            <w:r w:rsidR="003F707C" w:rsidRPr="00ED00D6">
              <w:rPr>
                <w:rFonts w:eastAsia="MS Gothic"/>
                <w:iCs/>
                <w:sz w:val="18"/>
                <w:szCs w:val="18"/>
                <w:lang w:val="hr-HR"/>
              </w:rPr>
              <w:t>A network framework of cultural history</w:t>
            </w:r>
            <w:r w:rsidRPr="00ED00D6">
              <w:rPr>
                <w:rFonts w:eastAsia="MS Gothic"/>
                <w:iCs/>
                <w:sz w:val="18"/>
                <w:szCs w:val="18"/>
                <w:lang w:val="hr-HR"/>
              </w:rPr>
              <w:t>“</w:t>
            </w:r>
            <w:r w:rsidR="003F707C"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 xml:space="preserve">. Science, </w:t>
            </w:r>
            <w:r w:rsidRPr="00ED00D6">
              <w:rPr>
                <w:rFonts w:eastAsia="MS Gothic"/>
                <w:iCs/>
                <w:sz w:val="18"/>
                <w:szCs w:val="18"/>
                <w:lang w:val="hr-HR"/>
              </w:rPr>
              <w:t xml:space="preserve">345 (6196): </w:t>
            </w:r>
            <w:r w:rsidR="003F707C" w:rsidRPr="00ED00D6">
              <w:rPr>
                <w:rFonts w:eastAsia="MS Gothic"/>
                <w:iCs/>
                <w:sz w:val="18"/>
                <w:szCs w:val="18"/>
                <w:lang w:val="hr-HR"/>
              </w:rPr>
              <w:t>558-562</w:t>
            </w:r>
            <w:r w:rsidR="003F707C"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 xml:space="preserve">. </w:t>
            </w:r>
          </w:p>
          <w:p w:rsidR="00253806" w:rsidRPr="00ED00D6" w:rsidRDefault="00253806" w:rsidP="00D2693A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i/>
                <w:iCs/>
                <w:sz w:val="18"/>
                <w:szCs w:val="18"/>
                <w:lang w:val="hr-HR"/>
              </w:rPr>
            </w:pPr>
          </w:p>
          <w:p w:rsidR="00253806" w:rsidRPr="00ED00D6" w:rsidRDefault="00253806" w:rsidP="00253806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  <w:lang w:val="hr-HR"/>
              </w:rPr>
            </w:pPr>
            <w:r w:rsidRPr="00ED00D6">
              <w:rPr>
                <w:rFonts w:eastAsia="MS Gothic"/>
                <w:sz w:val="18"/>
                <w:szCs w:val="18"/>
                <w:lang w:val="hr-HR"/>
              </w:rPr>
              <w:t xml:space="preserve">Wasserman, S. i Faust, K. (2009). </w:t>
            </w:r>
            <w:r w:rsidRPr="00ED00D6">
              <w:rPr>
                <w:rFonts w:eastAsia="MS Gothic"/>
                <w:i/>
                <w:iCs/>
                <w:sz w:val="18"/>
                <w:szCs w:val="18"/>
                <w:lang w:val="hr-HR"/>
              </w:rPr>
              <w:t>Social Network Analysis. Methods and Applications</w:t>
            </w:r>
            <w:r w:rsidRPr="00ED00D6">
              <w:rPr>
                <w:rFonts w:eastAsia="MS Gothic"/>
                <w:sz w:val="18"/>
                <w:szCs w:val="18"/>
                <w:lang w:val="hr-HR"/>
              </w:rPr>
              <w:t>. New York: Cambridge University Press.</w:t>
            </w:r>
          </w:p>
          <w:p w:rsidR="000D69DE" w:rsidRPr="00ED00D6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  <w:szCs w:val="18"/>
              </w:rPr>
            </w:pP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lastRenderedPageBreak/>
              <w:t>Internet  sources</w:t>
            </w:r>
          </w:p>
        </w:tc>
        <w:tc>
          <w:tcPr>
            <w:tcW w:w="7487" w:type="dxa"/>
            <w:gridSpan w:val="28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>
              <w:rPr>
                <w:rFonts w:eastAsia="MS Gothic"/>
                <w:sz w:val="18"/>
              </w:rPr>
              <w:t xml:space="preserve"> </w:t>
            </w:r>
          </w:p>
        </w:tc>
      </w:tr>
      <w:tr w:rsidR="000D69DE" w:rsidRPr="00E9767E" w:rsidTr="003F449D">
        <w:tc>
          <w:tcPr>
            <w:tcW w:w="1801" w:type="dxa"/>
            <w:vMerge w:val="restart"/>
            <w:shd w:val="clear" w:color="auto" w:fill="F2F2F2"/>
            <w:vAlign w:val="center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 xml:space="preserve">Assessment criteria </w:t>
            </w:r>
            <w:r>
              <w:rPr>
                <w:b/>
                <w:sz w:val="18"/>
              </w:rPr>
              <w:t>of learning</w:t>
            </w:r>
            <w:r w:rsidRPr="00E9767E">
              <w:rPr>
                <w:b/>
                <w:sz w:val="18"/>
              </w:rPr>
              <w:t xml:space="preserve"> outcomes</w:t>
            </w:r>
          </w:p>
        </w:tc>
        <w:tc>
          <w:tcPr>
            <w:tcW w:w="5754" w:type="dxa"/>
            <w:gridSpan w:val="23"/>
          </w:tcPr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0D69DE" w:rsidRPr="00E9767E">
              <w:rPr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center"/>
              <w:rPr>
                <w:rFonts w:eastAsia="MS Gothic"/>
                <w:sz w:val="18"/>
              </w:rPr>
            </w:pP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2080" w:type="dxa"/>
            <w:gridSpan w:val="8"/>
            <w:vAlign w:val="center"/>
          </w:tcPr>
          <w:p w:rsidR="000D69DE" w:rsidRPr="00E9767E" w:rsidRDefault="00D5705A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0D69DE" w:rsidRPr="00E9767E">
              <w:rPr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0D69DE" w:rsidRPr="00E9767E" w:rsidRDefault="00AF66B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="000D69DE" w:rsidRPr="00E9767E">
              <w:rPr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0D69DE" w:rsidRPr="00E9767E" w:rsidRDefault="000D69D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  <w:szCs w:val="18"/>
                <w:lang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0D69DE" w:rsidRPr="00E9767E" w:rsidRDefault="000D69D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  <w:szCs w:val="18"/>
                <w:lang w:eastAsia="hr-HR"/>
              </w:rPr>
              <w:t>Practical work and final exam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0D69DE" w:rsidRPr="00E9767E" w:rsidRDefault="000D69D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eastAsia="MS Gothic"/>
                <w:sz w:val="18"/>
                <w:szCs w:val="18"/>
              </w:rPr>
              <w:t>Only</w:t>
            </w:r>
            <w:r w:rsidRPr="00E9767E">
              <w:rPr>
                <w:rFonts w:ascii="MS Gothic" w:eastAsia="MS Gothic" w:hAnsi="MS Gothic"/>
                <w:sz w:val="18"/>
              </w:rPr>
              <w:t xml:space="preserve"> </w:t>
            </w:r>
            <w:r w:rsidRPr="00E9767E">
              <w:rPr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701" w:type="dxa"/>
            <w:gridSpan w:val="8"/>
            <w:vAlign w:val="center"/>
          </w:tcPr>
          <w:p w:rsidR="000D69DE" w:rsidRPr="00E9767E" w:rsidRDefault="000D69D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Test/homework and final exam</w:t>
            </w:r>
          </w:p>
        </w:tc>
        <w:tc>
          <w:tcPr>
            <w:tcW w:w="1134" w:type="dxa"/>
            <w:gridSpan w:val="4"/>
            <w:vAlign w:val="center"/>
          </w:tcPr>
          <w:p w:rsidR="000D69DE" w:rsidRPr="00E9767E" w:rsidRDefault="00D5705A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0D69DE" w:rsidRPr="00E9767E" w:rsidRDefault="000D69DE" w:rsidP="003F44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  <w:szCs w:val="18"/>
                <w:lang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0D69DE" w:rsidRPr="00E9767E" w:rsidRDefault="00AF66BE" w:rsidP="003F44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rFonts w:ascii="MS Gothic" w:eastAsia="MS Gothic" w:hAnsi="MS Gothic" w:hint="eastAsia"/>
                <w:sz w:val="18"/>
              </w:rPr>
              <w:t>☒</w:t>
            </w:r>
            <w:r w:rsidR="000D69DE" w:rsidRPr="00E9767E">
              <w:rPr>
                <w:sz w:val="18"/>
                <w:szCs w:val="18"/>
                <w:lang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0D69DE" w:rsidRPr="00E9767E" w:rsidRDefault="000D69DE" w:rsidP="003F449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  <w:szCs w:val="18"/>
                <w:lang w:eastAsia="hr-HR"/>
              </w:rPr>
              <w:t>other forms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Calculation of final grade</w:t>
            </w:r>
          </w:p>
        </w:tc>
        <w:tc>
          <w:tcPr>
            <w:tcW w:w="7487" w:type="dxa"/>
            <w:gridSpan w:val="28"/>
            <w:vAlign w:val="center"/>
          </w:tcPr>
          <w:p w:rsidR="000D69DE" w:rsidRPr="0040681C" w:rsidRDefault="00D5705A" w:rsidP="003F449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 w:rsidRPr="0040681C">
              <w:rPr>
                <w:rFonts w:eastAsia="MS Gothic"/>
                <w:sz w:val="18"/>
              </w:rPr>
              <w:t>Seminar paper</w:t>
            </w:r>
            <w:r w:rsidR="000D69DE" w:rsidRPr="0040681C">
              <w:rPr>
                <w:rFonts w:eastAsia="MS Gothic"/>
                <w:sz w:val="18"/>
              </w:rPr>
              <w:t xml:space="preserve">: </w:t>
            </w:r>
            <w:r w:rsidRPr="0040681C">
              <w:rPr>
                <w:rFonts w:eastAsia="MS Gothic"/>
                <w:sz w:val="18"/>
              </w:rPr>
              <w:t>5</w:t>
            </w:r>
            <w:r w:rsidR="000D69DE" w:rsidRPr="0040681C">
              <w:rPr>
                <w:rFonts w:eastAsia="MS Gothic"/>
                <w:sz w:val="18"/>
              </w:rPr>
              <w:t xml:space="preserve">0% </w:t>
            </w:r>
          </w:p>
          <w:p w:rsidR="000D69DE" w:rsidRPr="0040681C" w:rsidRDefault="00D5705A" w:rsidP="003F449D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 w:rsidRPr="0040681C">
              <w:rPr>
                <w:rFonts w:eastAsia="MS Gothic"/>
                <w:sz w:val="18"/>
              </w:rPr>
              <w:t>P</w:t>
            </w:r>
            <w:r w:rsidR="000D69DE" w:rsidRPr="0040681C">
              <w:rPr>
                <w:rFonts w:eastAsia="MS Gothic"/>
                <w:sz w:val="18"/>
              </w:rPr>
              <w:t>articipation: 2</w:t>
            </w:r>
            <w:r w:rsidRPr="0040681C">
              <w:rPr>
                <w:rFonts w:eastAsia="MS Gothic"/>
                <w:sz w:val="18"/>
              </w:rPr>
              <w:t>5</w:t>
            </w:r>
            <w:r w:rsidR="000D69DE" w:rsidRPr="0040681C">
              <w:rPr>
                <w:rFonts w:eastAsia="MS Gothic"/>
                <w:sz w:val="18"/>
              </w:rPr>
              <w:t xml:space="preserve">% </w:t>
            </w:r>
          </w:p>
          <w:p w:rsidR="000D69DE" w:rsidRPr="00E9767E" w:rsidRDefault="00AF66BE" w:rsidP="00D5705A">
            <w:pPr>
              <w:tabs>
                <w:tab w:val="left" w:pos="1218"/>
              </w:tabs>
              <w:spacing w:before="20" w:after="20"/>
              <w:rPr>
                <w:rFonts w:eastAsia="MS Gothic"/>
                <w:sz w:val="18"/>
              </w:rPr>
            </w:pPr>
            <w:r w:rsidRPr="0040681C">
              <w:rPr>
                <w:rFonts w:eastAsia="MS Gothic"/>
                <w:sz w:val="18"/>
              </w:rPr>
              <w:t>Practical work and exercises</w:t>
            </w:r>
            <w:r w:rsidR="00D5705A" w:rsidRPr="0040681C">
              <w:rPr>
                <w:rFonts w:eastAsia="MS Gothic"/>
                <w:sz w:val="18"/>
              </w:rPr>
              <w:t>: 25%</w:t>
            </w:r>
          </w:p>
        </w:tc>
      </w:tr>
      <w:tr w:rsidR="000D69DE" w:rsidRPr="00E9767E" w:rsidTr="003F449D">
        <w:tc>
          <w:tcPr>
            <w:tcW w:w="1801" w:type="dxa"/>
            <w:vMerge w:val="restart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Grading scale</w:t>
            </w:r>
          </w:p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D69DE" w:rsidRPr="00E9767E" w:rsidRDefault="000D69DE" w:rsidP="00AF66BE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0-</w:t>
            </w:r>
            <w:r w:rsidR="00AF66BE">
              <w:rPr>
                <w:sz w:val="18"/>
              </w:rPr>
              <w:t>5</w:t>
            </w:r>
          </w:p>
        </w:tc>
        <w:tc>
          <w:tcPr>
            <w:tcW w:w="6300" w:type="dxa"/>
            <w:gridSpan w:val="2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sz w:val="18"/>
              </w:rPr>
              <w:t>% Failure (1)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D69DE" w:rsidRPr="00E9767E" w:rsidRDefault="00AF66B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300" w:type="dxa"/>
            <w:gridSpan w:val="2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sz w:val="18"/>
              </w:rPr>
              <w:t>% Satisfactory (2)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300" w:type="dxa"/>
            <w:gridSpan w:val="2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sz w:val="18"/>
              </w:rPr>
              <w:t>% Good (3)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300" w:type="dxa"/>
            <w:gridSpan w:val="2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sz w:val="18"/>
              </w:rPr>
              <w:t>% Very good (4)</w:t>
            </w:r>
          </w:p>
        </w:tc>
      </w:tr>
      <w:tr w:rsidR="000D69DE" w:rsidRPr="00E9767E" w:rsidTr="003F449D">
        <w:tc>
          <w:tcPr>
            <w:tcW w:w="1801" w:type="dxa"/>
            <w:vMerge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0D69DE" w:rsidRPr="00E9767E" w:rsidRDefault="00AF66BE" w:rsidP="00AF66BE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9-10</w:t>
            </w:r>
          </w:p>
        </w:tc>
        <w:tc>
          <w:tcPr>
            <w:tcW w:w="6300" w:type="dxa"/>
            <w:gridSpan w:val="25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sz w:val="18"/>
              </w:rPr>
              <w:t>% Excellent (5)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Course evaluation procedures</w:t>
            </w:r>
          </w:p>
        </w:tc>
        <w:tc>
          <w:tcPr>
            <w:tcW w:w="7487" w:type="dxa"/>
            <w:gridSpan w:val="28"/>
            <w:vAlign w:val="center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sz w:val="18"/>
              </w:rPr>
              <w:t>Student evaluations conducted by the University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Student evaluations conducted by the Department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Internal evaluation of teaching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sz w:val="18"/>
              </w:rPr>
              <w:t>Department meetings discussing quality of teaching and results of student evaluations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rPr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sz w:val="18"/>
              </w:rPr>
              <w:t>Other</w:t>
            </w:r>
          </w:p>
        </w:tc>
      </w:tr>
      <w:tr w:rsidR="000D69DE" w:rsidRPr="00E9767E" w:rsidTr="003F449D">
        <w:tc>
          <w:tcPr>
            <w:tcW w:w="1801" w:type="dxa"/>
            <w:shd w:val="clear" w:color="auto" w:fill="F2F2F2"/>
          </w:tcPr>
          <w:p w:rsidR="000D69DE" w:rsidRPr="00E9767E" w:rsidRDefault="000D69DE" w:rsidP="003F449D">
            <w:pPr>
              <w:spacing w:before="20" w:after="20"/>
              <w:rPr>
                <w:b/>
                <w:sz w:val="18"/>
              </w:rPr>
            </w:pPr>
            <w:r w:rsidRPr="00E9767E">
              <w:rPr>
                <w:b/>
                <w:sz w:val="18"/>
              </w:rPr>
              <w:t>Note /Other</w:t>
            </w:r>
          </w:p>
        </w:tc>
        <w:tc>
          <w:tcPr>
            <w:tcW w:w="7487" w:type="dxa"/>
            <w:gridSpan w:val="28"/>
            <w:shd w:val="clear" w:color="auto" w:fill="auto"/>
          </w:tcPr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 xml:space="preserve">In accordance with Art. 6 of the </w:t>
            </w:r>
            <w:r w:rsidRPr="00E9767E">
              <w:rPr>
                <w:rFonts w:eastAsia="MS Gothic"/>
                <w:i/>
                <w:sz w:val="18"/>
              </w:rPr>
              <w:t>Code of Ethics</w:t>
            </w:r>
            <w:r w:rsidRPr="00E9767E">
              <w:rPr>
                <w:rFonts w:eastAsia="MS Gothic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 xml:space="preserve">According to Art. 14 of the University of Zadar's </w:t>
            </w:r>
            <w:r w:rsidRPr="00E9767E">
              <w:rPr>
                <w:rFonts w:eastAsia="MS Gothic"/>
                <w:i/>
                <w:sz w:val="18"/>
              </w:rPr>
              <w:t>Code of Ethics</w:t>
            </w:r>
            <w:r w:rsidRPr="00E9767E">
              <w:rPr>
                <w:rFonts w:eastAsia="MS Gothic"/>
                <w:sz w:val="18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>Any act constituting a violation of academic honesty is ethically prohibited. This includes, but is not limited to: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0D69DE" w:rsidRPr="00E9767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E9767E">
              <w:rPr>
                <w:rFonts w:eastAsia="MS Gothic"/>
                <w:i/>
                <w:sz w:val="18"/>
              </w:rPr>
              <w:t xml:space="preserve">Rulebook on Disciplinary Responsibility of Students at the University of Zadar </w:t>
            </w:r>
            <w:r w:rsidRPr="00E9767E">
              <w:rPr>
                <w:rFonts w:eastAsia="MS Gothic"/>
                <w:sz w:val="18"/>
              </w:rPr>
              <w:t>will be applied.</w:t>
            </w:r>
          </w:p>
          <w:p w:rsidR="000D69D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  <w:r w:rsidRPr="00E9767E">
              <w:rPr>
                <w:rFonts w:eastAsia="MS Gothic"/>
                <w:sz w:val="18"/>
              </w:rPr>
              <w:lastRenderedPageBreak/>
              <w:t>In electronic communications only messages coming from known addresses with a first and a last name</w:t>
            </w:r>
            <w:r>
              <w:rPr>
                <w:rFonts w:eastAsia="MS Gothic"/>
                <w:sz w:val="18"/>
              </w:rPr>
              <w:t xml:space="preserve"> </w:t>
            </w:r>
            <w:r w:rsidRPr="00E9767E">
              <w:rPr>
                <w:rFonts w:eastAsia="MS Gothic"/>
                <w:sz w:val="18"/>
              </w:rPr>
              <w:t>will be responded to.</w:t>
            </w:r>
            <w:r>
              <w:rPr>
                <w:rFonts w:eastAsia="MS Gothic"/>
                <w:sz w:val="18"/>
              </w:rPr>
              <w:t xml:space="preserve"> </w:t>
            </w:r>
            <w:r w:rsidRPr="00E9767E">
              <w:rPr>
                <w:rFonts w:eastAsia="MS Gothic"/>
                <w:sz w:val="18"/>
              </w:rPr>
              <w:t>This course uses the Merlin system for e-learning, so students are required to have an AAI account</w:t>
            </w:r>
            <w:r>
              <w:rPr>
                <w:rFonts w:eastAsia="MS Gothic"/>
                <w:sz w:val="18"/>
              </w:rPr>
              <w:t>.</w:t>
            </w:r>
          </w:p>
          <w:p w:rsidR="000D69DE" w:rsidRDefault="000D69DE" w:rsidP="003F449D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  <w:p w:rsidR="000D69DE" w:rsidRPr="00E9767E" w:rsidRDefault="000D69DE" w:rsidP="00AF66BE">
            <w:pPr>
              <w:tabs>
                <w:tab w:val="left" w:pos="1218"/>
              </w:tabs>
              <w:spacing w:before="20" w:after="20"/>
              <w:jc w:val="both"/>
              <w:rPr>
                <w:rFonts w:eastAsia="MS Gothic"/>
                <w:sz w:val="18"/>
              </w:rPr>
            </w:pPr>
          </w:p>
        </w:tc>
      </w:tr>
    </w:tbl>
    <w:p w:rsidR="000D69DE" w:rsidRPr="00E9767E" w:rsidRDefault="000D69DE" w:rsidP="000D69DE">
      <w:pPr>
        <w:rPr>
          <w:rFonts w:ascii="Georgia" w:hAnsi="Georgia"/>
        </w:rPr>
      </w:pPr>
    </w:p>
    <w:p w:rsidR="005E12B7" w:rsidRDefault="005E12B7"/>
    <w:sectPr w:rsidR="005E12B7" w:rsidSect="003039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7C" w:rsidRDefault="003F707C">
      <w:r>
        <w:separator/>
      </w:r>
    </w:p>
  </w:endnote>
  <w:endnote w:type="continuationSeparator" w:id="0">
    <w:p w:rsidR="003F707C" w:rsidRDefault="003F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JPMUD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7C" w:rsidRDefault="003F707C">
      <w:r>
        <w:separator/>
      </w:r>
    </w:p>
  </w:footnote>
  <w:footnote w:type="continuationSeparator" w:id="0">
    <w:p w:rsidR="003F707C" w:rsidRDefault="003F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0D69D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0D69DE" w:rsidP="0079745E">
                          <w:r>
                            <w:rPr>
                              <w:noProof/>
                              <w:lang w:val="hr-HR" w:eastAsia="hr-HR"/>
                            </w:rPr>
                            <w:drawing>
                              <wp:inline distT="0" distB="0" distL="0" distR="0">
                                <wp:extent cx="972820" cy="80454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2820" cy="8045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0D69DE" w:rsidP="0079745E">
                    <w:r>
                      <w:rPr>
                        <w:noProof/>
                        <w:lang w:val="hr-HR" w:eastAsia="hr-HR"/>
                      </w:rPr>
                      <w:drawing>
                        <wp:inline distT="0" distB="0" distL="0" distR="0">
                          <wp:extent cx="972820" cy="80454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2820" cy="804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31578">
      <w:rPr>
        <w:rFonts w:ascii="Georgia" w:hAnsi="Georgia"/>
        <w:sz w:val="22"/>
      </w:rPr>
      <w:t>UNIVERSITY OF ZADAR</w:t>
    </w:r>
    <w:r w:rsidR="00731578" w:rsidRPr="001B3A0D">
      <w:rPr>
        <w:rFonts w:ascii="Georgia" w:hAnsi="Georgia"/>
        <w:sz w:val="22"/>
      </w:rPr>
      <w:tab/>
    </w:r>
    <w:r w:rsidR="00731578" w:rsidRPr="001B3A0D">
      <w:rPr>
        <w:rFonts w:ascii="Georgia" w:hAnsi="Georgia"/>
        <w:sz w:val="22"/>
      </w:rPr>
      <w:tab/>
    </w:r>
  </w:p>
  <w:p w:rsidR="0079745E" w:rsidRPr="001B3A0D" w:rsidRDefault="0073157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:rsidR="0079745E" w:rsidRPr="001B3A0D" w:rsidRDefault="00731578" w:rsidP="0079745E">
    <w:pPr>
      <w:pBdr>
        <w:bottom w:val="single" w:sz="4" w:space="1" w:color="auto"/>
      </w:pBdr>
      <w:tabs>
        <w:tab w:val="left" w:pos="1418"/>
      </w:tabs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:rsidR="0079745E" w:rsidRDefault="003F707C" w:rsidP="0079745E">
    <w:pPr>
      <w:pStyle w:val="Header"/>
    </w:pPr>
  </w:p>
  <w:p w:rsidR="0079745E" w:rsidRDefault="003F7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9BA"/>
    <w:multiLevelType w:val="multilevel"/>
    <w:tmpl w:val="4FCA5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069C"/>
    <w:multiLevelType w:val="hybridMultilevel"/>
    <w:tmpl w:val="8B387628"/>
    <w:lvl w:ilvl="0" w:tplc="6A98E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E86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C2E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033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68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C5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29F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A81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C09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911D9"/>
    <w:multiLevelType w:val="hybridMultilevel"/>
    <w:tmpl w:val="E1983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A24BC"/>
    <w:multiLevelType w:val="hybridMultilevel"/>
    <w:tmpl w:val="03705758"/>
    <w:lvl w:ilvl="0" w:tplc="48E28C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62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9F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440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CA5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50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65F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E3B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453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F02780"/>
    <w:multiLevelType w:val="hybridMultilevel"/>
    <w:tmpl w:val="2576A6D0"/>
    <w:lvl w:ilvl="0" w:tplc="0FE41E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224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6A7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CA1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4A1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60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0DA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472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8BD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2E1B2F"/>
    <w:multiLevelType w:val="hybridMultilevel"/>
    <w:tmpl w:val="1F78AE10"/>
    <w:lvl w:ilvl="0" w:tplc="4C0E4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EC5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00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20F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B9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C262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837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0F9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21D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118CE"/>
    <w:multiLevelType w:val="hybridMultilevel"/>
    <w:tmpl w:val="20ACD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20BC"/>
    <w:multiLevelType w:val="hybridMultilevel"/>
    <w:tmpl w:val="E46EC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E"/>
    <w:rsid w:val="000503CC"/>
    <w:rsid w:val="000917A3"/>
    <w:rsid w:val="000D69DE"/>
    <w:rsid w:val="001D69A1"/>
    <w:rsid w:val="00253806"/>
    <w:rsid w:val="00254295"/>
    <w:rsid w:val="002962BD"/>
    <w:rsid w:val="00374E47"/>
    <w:rsid w:val="003E7D08"/>
    <w:rsid w:val="003F707C"/>
    <w:rsid w:val="0040681C"/>
    <w:rsid w:val="004C177F"/>
    <w:rsid w:val="0054437B"/>
    <w:rsid w:val="005518AB"/>
    <w:rsid w:val="005B314A"/>
    <w:rsid w:val="005E12B7"/>
    <w:rsid w:val="0061521A"/>
    <w:rsid w:val="00656689"/>
    <w:rsid w:val="00661665"/>
    <w:rsid w:val="00731578"/>
    <w:rsid w:val="00915644"/>
    <w:rsid w:val="00970A2D"/>
    <w:rsid w:val="009E2D9C"/>
    <w:rsid w:val="00AC48D2"/>
    <w:rsid w:val="00AF66BE"/>
    <w:rsid w:val="00BA23DD"/>
    <w:rsid w:val="00D031DF"/>
    <w:rsid w:val="00D2693A"/>
    <w:rsid w:val="00D5705A"/>
    <w:rsid w:val="00ED00D6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69DE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9DE"/>
    <w:rPr>
      <w:rFonts w:ascii="Times New Roman" w:eastAsia="Times New Roman" w:hAnsi="Times New Roman" w:cs="Times New Roman"/>
      <w:b/>
      <w:bCs/>
      <w:sz w:val="36"/>
      <w:szCs w:val="36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0D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D6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D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7D08"/>
    <w:pPr>
      <w:ind w:left="720"/>
      <w:contextualSpacing/>
    </w:pPr>
  </w:style>
  <w:style w:type="paragraph" w:styleId="BodyText2">
    <w:name w:val="Body Text 2"/>
    <w:basedOn w:val="Normal"/>
    <w:link w:val="BodyText2Char"/>
    <w:rsid w:val="000917A3"/>
    <w:pPr>
      <w:widowControl w:val="0"/>
      <w:tabs>
        <w:tab w:val="left" w:pos="720"/>
        <w:tab w:val="left" w:pos="5760"/>
      </w:tabs>
      <w:suppressAutoHyphens/>
    </w:pPr>
    <w:rPr>
      <w:rFonts w:ascii="CG Times" w:hAnsi="CG Times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917A3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A2">
    <w:name w:val="A2"/>
    <w:uiPriority w:val="99"/>
    <w:rsid w:val="000917A3"/>
    <w:rPr>
      <w:rFonts w:cs="RJPMUD+HelveticaNeue"/>
      <w:color w:val="000000"/>
      <w:sz w:val="16"/>
      <w:szCs w:val="16"/>
    </w:rPr>
  </w:style>
  <w:style w:type="character" w:customStyle="1" w:styleId="name">
    <w:name w:val="name"/>
    <w:basedOn w:val="DefaultParagraphFont"/>
    <w:rsid w:val="00253806"/>
  </w:style>
  <w:style w:type="character" w:customStyle="1" w:styleId="xref-sep">
    <w:name w:val="xref-sep"/>
    <w:basedOn w:val="DefaultParagraphFont"/>
    <w:rsid w:val="0025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69DE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9DE"/>
    <w:rPr>
      <w:rFonts w:ascii="Times New Roman" w:eastAsia="Times New Roman" w:hAnsi="Times New Roman" w:cs="Times New Roman"/>
      <w:b/>
      <w:bCs/>
      <w:sz w:val="36"/>
      <w:szCs w:val="36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0D6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9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0D69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D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7D08"/>
    <w:pPr>
      <w:ind w:left="720"/>
      <w:contextualSpacing/>
    </w:pPr>
  </w:style>
  <w:style w:type="paragraph" w:styleId="BodyText2">
    <w:name w:val="Body Text 2"/>
    <w:basedOn w:val="Normal"/>
    <w:link w:val="BodyText2Char"/>
    <w:rsid w:val="000917A3"/>
    <w:pPr>
      <w:widowControl w:val="0"/>
      <w:tabs>
        <w:tab w:val="left" w:pos="720"/>
        <w:tab w:val="left" w:pos="5760"/>
      </w:tabs>
      <w:suppressAutoHyphens/>
    </w:pPr>
    <w:rPr>
      <w:rFonts w:ascii="CG Times" w:hAnsi="CG Times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917A3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A2">
    <w:name w:val="A2"/>
    <w:uiPriority w:val="99"/>
    <w:rsid w:val="000917A3"/>
    <w:rPr>
      <w:rFonts w:cs="RJPMUD+HelveticaNeue"/>
      <w:color w:val="000000"/>
      <w:sz w:val="16"/>
      <w:szCs w:val="16"/>
    </w:rPr>
  </w:style>
  <w:style w:type="character" w:customStyle="1" w:styleId="name">
    <w:name w:val="name"/>
    <w:basedOn w:val="DefaultParagraphFont"/>
    <w:rsid w:val="00253806"/>
  </w:style>
  <w:style w:type="character" w:customStyle="1" w:styleId="xref-sep">
    <w:name w:val="xref-sep"/>
    <w:basedOn w:val="DefaultParagraphFont"/>
    <w:rsid w:val="00253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2020-09-28T20:30:00Z</dcterms:created>
  <dcterms:modified xsi:type="dcterms:W3CDTF">2020-10-04T13:41:00Z</dcterms:modified>
</cp:coreProperties>
</file>