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9390" w14:textId="2887515D" w:rsidR="008E500A" w:rsidRPr="000D0F75" w:rsidRDefault="000D0F75" w:rsidP="008E500A">
      <w:pPr>
        <w:spacing w:line="240" w:lineRule="auto"/>
        <w:rPr>
          <w:rFonts w:ascii="Merriweather Light" w:hAnsi="Merriweather Light"/>
          <w:sz w:val="20"/>
          <w:szCs w:val="20"/>
        </w:rPr>
      </w:pPr>
      <w:r w:rsidRPr="000D0F75">
        <w:rPr>
          <w:rFonts w:ascii="Merriweather Light" w:hAnsi="Merriweather Light"/>
          <w:sz w:val="20"/>
          <w:szCs w:val="20"/>
        </w:rPr>
        <w:t xml:space="preserve">Dr. sc. </w:t>
      </w:r>
      <w:r w:rsidR="008E500A" w:rsidRPr="000D0F75">
        <w:rPr>
          <w:rFonts w:ascii="Merriweather Light" w:hAnsi="Merriweather Light"/>
          <w:sz w:val="20"/>
          <w:szCs w:val="20"/>
        </w:rPr>
        <w:t xml:space="preserve">Gwenaëlle Deborde </w:t>
      </w:r>
    </w:p>
    <w:p w14:paraId="4E48B621" w14:textId="3EB45E02" w:rsidR="00115C60" w:rsidRDefault="000D0F75" w:rsidP="008E500A">
      <w:pPr>
        <w:spacing w:line="240" w:lineRule="auto"/>
        <w:rPr>
          <w:rFonts w:ascii="Merriweather Light" w:hAnsi="Merriweather Light"/>
          <w:sz w:val="20"/>
          <w:szCs w:val="20"/>
          <w:lang w:val="it-IT"/>
        </w:rPr>
      </w:pPr>
      <w:r w:rsidRPr="000D0F75">
        <w:rPr>
          <w:rFonts w:ascii="Merriweather Light" w:hAnsi="Merriweather Light"/>
          <w:sz w:val="20"/>
          <w:szCs w:val="20"/>
          <w:lang w:val="it-IT"/>
        </w:rPr>
        <w:t xml:space="preserve">predavač na Sveučilištu Sorbonne </w:t>
      </w:r>
    </w:p>
    <w:p w14:paraId="5FA7A7DC" w14:textId="77777777" w:rsidR="00E661B8" w:rsidRDefault="00E661B8" w:rsidP="008E500A">
      <w:pPr>
        <w:spacing w:line="240" w:lineRule="auto"/>
        <w:rPr>
          <w:rFonts w:ascii="Merriweather Light" w:hAnsi="Merriweather Light"/>
          <w:sz w:val="20"/>
          <w:szCs w:val="20"/>
          <w:lang w:val="it-IT"/>
        </w:rPr>
      </w:pPr>
    </w:p>
    <w:p w14:paraId="448C6656" w14:textId="77777777" w:rsidR="00E661B8" w:rsidRPr="000D0F75" w:rsidRDefault="00E661B8" w:rsidP="008E500A">
      <w:pPr>
        <w:spacing w:line="240" w:lineRule="auto"/>
        <w:rPr>
          <w:rFonts w:ascii="Merriweather Light" w:hAnsi="Merriweather Light"/>
          <w:sz w:val="20"/>
          <w:szCs w:val="20"/>
          <w:lang w:val="it-IT"/>
        </w:rPr>
      </w:pPr>
    </w:p>
    <w:p w14:paraId="7FD0B9C5" w14:textId="14C9FCE8" w:rsidR="00671F87" w:rsidRPr="000D0F75" w:rsidRDefault="00894B6E" w:rsidP="00894B6E">
      <w:pPr>
        <w:jc w:val="center"/>
        <w:rPr>
          <w:rFonts w:ascii="Merriweather Black" w:hAnsi="Merriweather Black"/>
          <w:sz w:val="22"/>
          <w:szCs w:val="22"/>
          <w:lang w:val="it-IT"/>
        </w:rPr>
      </w:pPr>
      <w:r>
        <w:rPr>
          <w:rFonts w:ascii="Merriweather Black" w:hAnsi="Merriweather Black"/>
          <w:sz w:val="22"/>
          <w:szCs w:val="22"/>
          <w:lang w:val="it-IT"/>
        </w:rPr>
        <w:t>Presuđivanje</w:t>
      </w:r>
      <w:r w:rsidR="000D0F75" w:rsidRPr="000D0F75">
        <w:rPr>
          <w:rFonts w:ascii="Merriweather Black" w:hAnsi="Merriweather Black"/>
          <w:sz w:val="22"/>
          <w:szCs w:val="22"/>
          <w:lang w:val="it-IT"/>
        </w:rPr>
        <w:t xml:space="preserve"> teritorijalnih sporova u rimskoj Dalmaciji (1.-2. st. po Kr.): pravna i povijesna analiza </w:t>
      </w:r>
      <w:r w:rsidR="000D0F75">
        <w:rPr>
          <w:rFonts w:ascii="Merriweather Black" w:hAnsi="Merriweather Black"/>
          <w:sz w:val="22"/>
          <w:szCs w:val="22"/>
          <w:lang w:val="it-IT"/>
        </w:rPr>
        <w:t>međašnih spomenika</w:t>
      </w:r>
    </w:p>
    <w:p w14:paraId="1D205634" w14:textId="77777777" w:rsidR="006C3CF0" w:rsidRPr="00894B6E" w:rsidRDefault="006C3CF0" w:rsidP="00441DEC">
      <w:pPr>
        <w:ind w:firstLine="708"/>
        <w:rPr>
          <w:rFonts w:ascii="Merriweather Light" w:hAnsi="Merriweather Light"/>
          <w:sz w:val="22"/>
          <w:szCs w:val="22"/>
          <w:lang w:val="it-IT"/>
        </w:rPr>
      </w:pPr>
    </w:p>
    <w:p w14:paraId="73521653" w14:textId="01117B63" w:rsidR="00E661B8" w:rsidRPr="00E661B8" w:rsidRDefault="00E661B8" w:rsidP="00E661B8">
      <w:pPr>
        <w:ind w:firstLine="708"/>
        <w:rPr>
          <w:rFonts w:ascii="Merriweather Light" w:hAnsi="Merriweather Light"/>
          <w:sz w:val="22"/>
          <w:szCs w:val="22"/>
          <w:lang w:val="it-IT"/>
        </w:rPr>
      </w:pPr>
      <w:r w:rsidRPr="00E661B8">
        <w:rPr>
          <w:rFonts w:ascii="Merriweather Light" w:hAnsi="Merriweather Light"/>
          <w:sz w:val="22"/>
          <w:szCs w:val="22"/>
          <w:lang w:val="it-IT"/>
        </w:rPr>
        <w:t xml:space="preserve">Rimske gradove karakteriziraju njihove ustanove i njihove </w:t>
      </w:r>
      <w:r w:rsidR="007F3696">
        <w:rPr>
          <w:rFonts w:ascii="Merriweather Light" w:hAnsi="Merriweather Light"/>
          <w:sz w:val="22"/>
          <w:szCs w:val="22"/>
          <w:lang w:val="it-IT"/>
        </w:rPr>
        <w:t>granice</w:t>
      </w:r>
      <w:r w:rsidRPr="00E661B8">
        <w:rPr>
          <w:rFonts w:ascii="Merriweather Light" w:hAnsi="Merriweather Light"/>
          <w:sz w:val="22"/>
          <w:szCs w:val="22"/>
          <w:lang w:val="it-IT"/>
        </w:rPr>
        <w:t>. Prema rimskim mjernicima (geodetima), međašni spomenik (</w:t>
      </w:r>
      <w:r w:rsidRPr="00E661B8">
        <w:rPr>
          <w:rFonts w:ascii="Merriweather Light" w:hAnsi="Merriweather Light"/>
          <w:i/>
          <w:iCs/>
          <w:sz w:val="22"/>
          <w:szCs w:val="22"/>
          <w:lang w:val="it-IT"/>
        </w:rPr>
        <w:t>terminus</w:t>
      </w:r>
      <w:r w:rsidRPr="00E661B8">
        <w:rPr>
          <w:rFonts w:ascii="Merriweather Light" w:hAnsi="Merriweather Light"/>
          <w:sz w:val="22"/>
          <w:szCs w:val="22"/>
          <w:lang w:val="it-IT"/>
        </w:rPr>
        <w:t xml:space="preserve">) </w:t>
      </w:r>
      <w:r w:rsidRPr="00E661B8">
        <w:rPr>
          <w:rFonts w:ascii="Merriweather Light" w:hAnsi="Merriweather Light"/>
          <w:sz w:val="22"/>
          <w:szCs w:val="22"/>
          <w:lang w:val="it-IT"/>
        </w:rPr>
        <w:t xml:space="preserve">obično se postavljao nakon spora među susjedima </w:t>
      </w:r>
      <w:r w:rsidRPr="00E661B8">
        <w:rPr>
          <w:rFonts w:ascii="Merriweather Light" w:hAnsi="Merriweather Light"/>
          <w:sz w:val="22"/>
          <w:szCs w:val="22"/>
          <w:lang w:val="it-IT"/>
        </w:rPr>
        <w:t>(Frontinus, I, 4).</w:t>
      </w:r>
      <w:r w:rsidRPr="00E661B8">
        <w:rPr>
          <w:rFonts w:ascii="Merriweather Light" w:hAnsi="Merriweather Light"/>
          <w:sz w:val="22"/>
          <w:szCs w:val="22"/>
          <w:lang w:val="it-IT"/>
        </w:rPr>
        <w:t xml:space="preserve"> </w:t>
      </w:r>
      <w:r>
        <w:rPr>
          <w:rFonts w:ascii="Merriweather Light" w:hAnsi="Merriweather Light"/>
          <w:sz w:val="22"/>
          <w:szCs w:val="22"/>
          <w:lang w:val="it-IT"/>
        </w:rPr>
        <w:t xml:space="preserve">Iako znamo da to nije uvijek bilo baš tako, brojne oznake u prostoru svjedoče o pravnim sporovima među zajednicama Rimskog carstva. S prostora zapadnih provincija najveći broj takvih potvrda potječe iz rimske Dalmacije. </w:t>
      </w:r>
      <w:r w:rsidRPr="00E661B8">
        <w:rPr>
          <w:rFonts w:ascii="Merriweather Light" w:hAnsi="Merriweather Light"/>
          <w:sz w:val="22"/>
          <w:szCs w:val="22"/>
          <w:lang w:val="it-IT"/>
        </w:rPr>
        <w:t>Učestalost sporova među liburnskim zajednicama u prvom i ranom d</w:t>
      </w:r>
      <w:r>
        <w:rPr>
          <w:rFonts w:ascii="Merriweather Light" w:hAnsi="Merriweather Light"/>
          <w:sz w:val="22"/>
          <w:szCs w:val="22"/>
          <w:lang w:val="it-IT"/>
        </w:rPr>
        <w:t xml:space="preserve">rugom stoljeću pruža jedinstveno svjedočanstvo o naravi pravnih procedura koje su se odvijale među njima. </w:t>
      </w:r>
      <w:r w:rsidRPr="00E661B8">
        <w:rPr>
          <w:rFonts w:ascii="Merriweather Light" w:hAnsi="Merriweather Light"/>
          <w:sz w:val="22"/>
          <w:szCs w:val="22"/>
          <w:lang w:val="it-IT"/>
        </w:rPr>
        <w:t>Tko je bio ovlašten rješavati teritorijalne sporove? Po kojem z</w:t>
      </w:r>
      <w:r>
        <w:rPr>
          <w:rFonts w:ascii="Merriweather Light" w:hAnsi="Merriweather Light"/>
          <w:sz w:val="22"/>
          <w:szCs w:val="22"/>
          <w:lang w:val="it-IT"/>
        </w:rPr>
        <w:t xml:space="preserve">akonu? Kakvi su ishodi? </w:t>
      </w:r>
      <w:r w:rsidRPr="00E661B8">
        <w:rPr>
          <w:rFonts w:ascii="Merriweather Light" w:hAnsi="Merriweather Light"/>
          <w:sz w:val="22"/>
          <w:szCs w:val="22"/>
          <w:lang w:val="it-IT"/>
        </w:rPr>
        <w:t xml:space="preserve">Na većinu tih pitanja može se </w:t>
      </w:r>
      <w:r w:rsidRPr="00E661B8">
        <w:rPr>
          <w:rFonts w:ascii="Merriweather Light" w:hAnsi="Merriweather Light"/>
          <w:sz w:val="22"/>
          <w:szCs w:val="22"/>
          <w:lang w:val="it-IT"/>
        </w:rPr>
        <w:t>odgovor</w:t>
      </w:r>
      <w:r w:rsidRPr="00E661B8">
        <w:rPr>
          <w:rFonts w:ascii="Merriweather Light" w:hAnsi="Merriweather Light"/>
          <w:sz w:val="22"/>
          <w:szCs w:val="22"/>
          <w:lang w:val="it-IT"/>
        </w:rPr>
        <w:t>iti zahvaljujući teritorijalnim m</w:t>
      </w:r>
      <w:r>
        <w:rPr>
          <w:rFonts w:ascii="Merriweather Light" w:hAnsi="Merriweather Light"/>
          <w:sz w:val="22"/>
          <w:szCs w:val="22"/>
          <w:lang w:val="it-IT"/>
        </w:rPr>
        <w:t xml:space="preserve">eđama iz Dalmacije.  </w:t>
      </w:r>
    </w:p>
    <w:p w14:paraId="67A30B78" w14:textId="4E602C94" w:rsidR="00655C84" w:rsidRPr="000D0F75" w:rsidRDefault="00E661B8" w:rsidP="00655C84">
      <w:pPr>
        <w:ind w:firstLine="708"/>
        <w:rPr>
          <w:rFonts w:ascii="Merriweather Light" w:hAnsi="Merriweather Light"/>
          <w:sz w:val="22"/>
          <w:szCs w:val="22"/>
          <w:lang w:val="en-US"/>
        </w:rPr>
      </w:pPr>
      <w:r w:rsidRPr="00E661B8">
        <w:rPr>
          <w:rFonts w:ascii="Merriweather Light" w:hAnsi="Merriweather Light"/>
          <w:sz w:val="22"/>
          <w:szCs w:val="22"/>
          <w:lang w:val="it-IT"/>
        </w:rPr>
        <w:t>Ovi međašni spomenici pružaju podatke o zakonskim pravima gradova Rimskog carst</w:t>
      </w:r>
      <w:r w:rsidR="007A1932">
        <w:rPr>
          <w:rFonts w:ascii="Merriweather Light" w:hAnsi="Merriweather Light"/>
          <w:sz w:val="22"/>
          <w:szCs w:val="22"/>
          <w:lang w:val="it-IT"/>
        </w:rPr>
        <w:t>v</w:t>
      </w:r>
      <w:r w:rsidRPr="00E661B8">
        <w:rPr>
          <w:rFonts w:ascii="Merriweather Light" w:hAnsi="Merriweather Light"/>
          <w:sz w:val="22"/>
          <w:szCs w:val="22"/>
          <w:lang w:val="it-IT"/>
        </w:rPr>
        <w:t>a</w:t>
      </w:r>
      <w:r w:rsidR="007A1932">
        <w:rPr>
          <w:rFonts w:ascii="Merriweather Light" w:hAnsi="Merriweather Light"/>
          <w:sz w:val="22"/>
          <w:szCs w:val="22"/>
          <w:lang w:val="it-IT"/>
        </w:rPr>
        <w:t>, i to</w:t>
      </w:r>
      <w:r w:rsidRPr="00E661B8">
        <w:rPr>
          <w:rFonts w:ascii="Merriweather Light" w:hAnsi="Merriweather Light"/>
          <w:sz w:val="22"/>
          <w:szCs w:val="22"/>
          <w:lang w:val="it-IT"/>
        </w:rPr>
        <w:t xml:space="preserve"> neovisno o njihovom statusu (</w:t>
      </w:r>
      <w:r w:rsidRPr="00E661B8">
        <w:rPr>
          <w:rFonts w:ascii="Merriweather Light" w:hAnsi="Merriweather Light"/>
          <w:i/>
          <w:iCs/>
          <w:sz w:val="22"/>
          <w:szCs w:val="22"/>
          <w:lang w:val="it-IT"/>
        </w:rPr>
        <w:t>coloniae, municipes, ciuitates peregrinae</w:t>
      </w:r>
      <w:r w:rsidRPr="00E661B8">
        <w:rPr>
          <w:rFonts w:ascii="Merriweather Light" w:hAnsi="Merriweather Light"/>
          <w:sz w:val="22"/>
          <w:szCs w:val="22"/>
          <w:lang w:val="it-IT"/>
        </w:rPr>
        <w:t xml:space="preserve">). </w:t>
      </w:r>
      <w:r w:rsidRPr="00E661B8">
        <w:rPr>
          <w:rFonts w:ascii="Merriweather Light" w:hAnsi="Merriweather Light"/>
          <w:sz w:val="22"/>
          <w:szCs w:val="22"/>
          <w:lang w:val="it-IT"/>
        </w:rPr>
        <w:t xml:space="preserve">Uspoređujući pravni diskurs o kolektivnim pravima zajednica s empirijskim praksama, možemo shvatiti kako su rimske vlasti uspostavile pravne odredbe za gradove i kako su ih te zajednice koristile za vlastitu korist. </w:t>
      </w:r>
    </w:p>
    <w:sectPr w:rsidR="00655C84" w:rsidRPr="000D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0A"/>
    <w:rsid w:val="00044A04"/>
    <w:rsid w:val="000D0F75"/>
    <w:rsid w:val="00115C60"/>
    <w:rsid w:val="001707E5"/>
    <w:rsid w:val="002775D7"/>
    <w:rsid w:val="002925DE"/>
    <w:rsid w:val="00441DEC"/>
    <w:rsid w:val="0059409D"/>
    <w:rsid w:val="00655C84"/>
    <w:rsid w:val="00671F87"/>
    <w:rsid w:val="006C3CF0"/>
    <w:rsid w:val="006F564B"/>
    <w:rsid w:val="007A1932"/>
    <w:rsid w:val="007D62E6"/>
    <w:rsid w:val="007F3696"/>
    <w:rsid w:val="0084288A"/>
    <w:rsid w:val="00842B51"/>
    <w:rsid w:val="00894B6E"/>
    <w:rsid w:val="008E500A"/>
    <w:rsid w:val="00CE72BC"/>
    <w:rsid w:val="00D65843"/>
    <w:rsid w:val="00D879BB"/>
    <w:rsid w:val="00DD3F86"/>
    <w:rsid w:val="00E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387F"/>
  <w15:chartTrackingRefBased/>
  <w15:docId w15:val="{1D5E1D92-F5F0-AA47-8E00-497FBF65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0A"/>
    <w:pPr>
      <w:spacing w:before="120" w:after="120" w:line="360" w:lineRule="auto"/>
      <w:jc w:val="both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E500A"/>
    <w:pPr>
      <w:keepNext/>
      <w:keepLines/>
      <w:spacing w:before="720" w:after="480"/>
      <w:ind w:left="708"/>
      <w:outlineLvl w:val="0"/>
    </w:pPr>
    <w:rPr>
      <w:rFonts w:ascii="Calibri" w:eastAsiaTheme="majorEastAsia" w:hAnsi="Calibri" w:cstheme="majorBidi"/>
      <w:b/>
      <w:color w:val="1F3864" w:themeColor="accent1" w:themeShade="8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E500A"/>
    <w:pPr>
      <w:keepNext/>
      <w:keepLines/>
      <w:spacing w:before="400" w:after="360"/>
      <w:ind w:left="708"/>
      <w:jc w:val="center"/>
      <w:outlineLvl w:val="1"/>
    </w:pPr>
    <w:rPr>
      <w:rFonts w:ascii="Calibri" w:eastAsiaTheme="majorEastAsia" w:hAnsi="Calibri" w:cstheme="majorBidi"/>
      <w:b/>
      <w:color w:val="2F5496" w:themeColor="accent1" w:themeShade="BF"/>
      <w:sz w:val="28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500A"/>
    <w:rPr>
      <w:rFonts w:ascii="Calibri" w:eastAsiaTheme="majorEastAsia" w:hAnsi="Calibri" w:cstheme="majorBidi"/>
      <w:b/>
      <w:color w:val="1F3864" w:themeColor="accent1" w:themeShade="80"/>
      <w:kern w:val="0"/>
      <w:sz w:val="32"/>
      <w:szCs w:val="32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8E500A"/>
    <w:rPr>
      <w:rFonts w:ascii="Calibri" w:eastAsiaTheme="majorEastAsia" w:hAnsi="Calibri" w:cstheme="majorBidi"/>
      <w:b/>
      <w:color w:val="2F5496" w:themeColor="accent1" w:themeShade="BF"/>
      <w:kern w:val="0"/>
      <w:sz w:val="28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Gwenaëlle Deborde</dc:creator>
  <cp:keywords/>
  <dc:description/>
  <cp:lastModifiedBy>Korisnik</cp:lastModifiedBy>
  <cp:revision>5</cp:revision>
  <dcterms:created xsi:type="dcterms:W3CDTF">2025-04-07T17:01:00Z</dcterms:created>
  <dcterms:modified xsi:type="dcterms:W3CDTF">2025-04-07T17:46:00Z</dcterms:modified>
</cp:coreProperties>
</file>