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 A"/>
        <w:jc w:val="center"/>
        <w:rPr>
          <w:rFonts w:ascii="Merriweather Bold" w:cs="Merriweather Bold" w:hAnsi="Merriweather Bold" w:eastAsia="Merriweather Bold"/>
          <w:sz w:val="24"/>
          <w:szCs w:val="24"/>
        </w:rPr>
      </w:pPr>
      <w:r>
        <w:rPr>
          <w:rFonts w:ascii="Merriweather Bold" w:hAnsi="Merriweather Bold"/>
          <w:sz w:val="24"/>
          <w:szCs w:val="24"/>
          <w:rtl w:val="0"/>
          <w:lang w:val="en-US"/>
        </w:rPr>
        <w:t>Izvedbeni plan nastave (syllabus</w:t>
      </w:r>
      <w:r>
        <w:rPr>
          <w:rFonts w:ascii="Merriweather Regular" w:cs="Merriweather Regular" w:hAnsi="Merriweather Regular" w:eastAsia="Merriweather Regular"/>
          <w:sz w:val="24"/>
          <w:szCs w:val="24"/>
          <w:vertAlign w:val="superscript"/>
        </w:rPr>
        <w:footnoteReference w:id="1"/>
      </w:r>
      <w:r>
        <w:rPr>
          <w:rFonts w:ascii="Merriweather Bold" w:hAnsi="Merriweather Bold"/>
          <w:sz w:val="24"/>
          <w:szCs w:val="24"/>
          <w:rtl w:val="0"/>
          <w:lang w:val="en-US"/>
        </w:rPr>
        <w:t>)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0"/>
        <w:gridCol w:w="355"/>
        <w:gridCol w:w="357"/>
        <w:gridCol w:w="204"/>
        <w:gridCol w:w="160"/>
        <w:gridCol w:w="160"/>
        <w:gridCol w:w="160"/>
        <w:gridCol w:w="160"/>
        <w:gridCol w:w="160"/>
        <w:gridCol w:w="161"/>
        <w:gridCol w:w="211"/>
        <w:gridCol w:w="160"/>
        <w:gridCol w:w="312"/>
        <w:gridCol w:w="211"/>
        <w:gridCol w:w="161"/>
        <w:gridCol w:w="160"/>
        <w:gridCol w:w="160"/>
        <w:gridCol w:w="160"/>
        <w:gridCol w:w="374"/>
        <w:gridCol w:w="213"/>
        <w:gridCol w:w="285"/>
        <w:gridCol w:w="187"/>
        <w:gridCol w:w="410"/>
        <w:gridCol w:w="160"/>
        <w:gridCol w:w="160"/>
        <w:gridCol w:w="160"/>
        <w:gridCol w:w="161"/>
        <w:gridCol w:w="189"/>
        <w:gridCol w:w="160"/>
        <w:gridCol w:w="160"/>
        <w:gridCol w:w="160"/>
        <w:gridCol w:w="203"/>
        <w:gridCol w:w="160"/>
        <w:gridCol w:w="952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Sastavnica</w:t>
            </w:r>
          </w:p>
        </w:tc>
        <w:tc>
          <w:tcPr>
            <w:tcW w:type="dxa" w:w="5201"/>
            <w:gridSpan w:val="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Odjel za povijest umjetnosti</w:t>
            </w:r>
          </w:p>
        </w:tc>
        <w:tc>
          <w:tcPr>
            <w:tcW w:type="dxa" w:w="8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akad. god.</w:t>
            </w:r>
          </w:p>
        </w:tc>
        <w:tc>
          <w:tcPr>
            <w:tcW w:type="dxa" w:w="14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Merriweather Regular" w:hAnsi="Merriweather Regular"/>
                <w:sz w:val="20"/>
                <w:szCs w:val="20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Merriweather Regular" w:hAnsi="Merriweather Regular"/>
                <w:sz w:val="20"/>
                <w:szCs w:val="20"/>
                <w:shd w:val="nil" w:color="auto" w:fill="auto"/>
                <w:rtl w:val="0"/>
              </w:rPr>
              <w:t>3</w:t>
            </w:r>
            <w:r>
              <w:rPr>
                <w:rFonts w:ascii="Merriweather Regular" w:hAnsi="Merriweather Regular"/>
                <w:sz w:val="20"/>
                <w:szCs w:val="20"/>
                <w:shd w:val="nil" w:color="auto" w:fill="auto"/>
                <w:rtl w:val="0"/>
                <w:lang w:val="en-US"/>
              </w:rPr>
              <w:t>./202</w:t>
            </w:r>
            <w:r>
              <w:rPr>
                <w:rFonts w:ascii="Merriweather Regular" w:hAnsi="Merriweather Regular"/>
                <w:sz w:val="20"/>
                <w:szCs w:val="20"/>
                <w:shd w:val="nil" w:color="auto" w:fill="auto"/>
                <w:rtl w:val="0"/>
              </w:rPr>
              <w:t>4</w:t>
            </w:r>
            <w:r>
              <w:rPr>
                <w:rFonts w:ascii="Merriweather Regular" w:hAnsi="Merriweather Regular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Naziv kolegija</w:t>
            </w:r>
          </w:p>
        </w:tc>
        <w:tc>
          <w:tcPr>
            <w:tcW w:type="dxa" w:w="5201"/>
            <w:gridSpan w:val="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 A"/>
              <w:spacing w:before="20" w:after="20"/>
              <w:jc w:val="center"/>
              <w:rPr>
                <w:rFonts w:ascii="Herculanum" w:cs="Herculanum" w:hAnsi="Herculanum" w:eastAsia="Herculanum"/>
                <w:sz w:val="24"/>
                <w:szCs w:val="24"/>
                <w:shd w:val="nil" w:color="auto" w:fill="auto"/>
              </w:rPr>
            </w:pPr>
            <w:r>
              <w:rPr>
                <w:rFonts w:ascii="Herculanum" w:hAnsi="Herculanum"/>
                <w:sz w:val="24"/>
                <w:szCs w:val="24"/>
                <w:shd w:val="nil" w:color="auto" w:fill="auto"/>
                <w:rtl w:val="0"/>
                <w:lang w:val="en-US"/>
              </w:rPr>
              <w:t>ILUMINIRANI RUKOPISI I: OD KASNE ANTIKE DO RANOG SREDNJEG VIJEKA</w:t>
            </w:r>
          </w:p>
          <w:p>
            <w:pPr>
              <w:pStyle w:val="Tijelo A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apyrus" w:hAnsi="Papyrus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(PUI </w:t>
            </w: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521</w:t>
            </w: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8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ECTS</w:t>
            </w:r>
          </w:p>
        </w:tc>
        <w:tc>
          <w:tcPr>
            <w:tcW w:type="dxa" w:w="14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Naziv studija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Preddiplomski i diplomski sveu</w:t>
            </w:r>
            <w:r>
              <w:rPr>
                <w:rFonts w:ascii="Merriweather Bold" w:hAnsi="Merriweather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ili</w:t>
            </w:r>
            <w:r>
              <w:rPr>
                <w:rFonts w:ascii="Merriweather Bold" w:hAnsi="Merriweather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Merriweather Bold" w:hAnsi="Merriweather Bold"/>
                <w:sz w:val="20"/>
                <w:szCs w:val="20"/>
                <w:shd w:val="nil" w:color="auto" w:fill="auto"/>
                <w:rtl w:val="0"/>
                <w:lang w:val="en-US"/>
              </w:rPr>
              <w:t>ni studij povijesti umjetnosti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Razina studija</w:t>
            </w:r>
          </w:p>
        </w:tc>
        <w:tc>
          <w:tcPr>
            <w:tcW w:type="dxa" w:w="187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preddiplomski </w:t>
            </w:r>
          </w:p>
        </w:tc>
        <w:tc>
          <w:tcPr>
            <w:tcW w:type="dxa" w:w="153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diplomski</w:t>
            </w:r>
          </w:p>
        </w:tc>
        <w:tc>
          <w:tcPr>
            <w:tcW w:type="dxa" w:w="178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integrirani</w:t>
            </w:r>
          </w:p>
        </w:tc>
        <w:tc>
          <w:tcPr>
            <w:tcW w:type="dxa" w:w="230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poslijediplomski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Godina studija</w:t>
            </w:r>
          </w:p>
        </w:tc>
        <w:tc>
          <w:tcPr>
            <w:tcW w:type="dxa" w:w="15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1.</w:t>
            </w:r>
          </w:p>
        </w:tc>
        <w:tc>
          <w:tcPr>
            <w:tcW w:type="dxa" w:w="15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13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17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4.</w:t>
            </w:r>
          </w:p>
        </w:tc>
        <w:tc>
          <w:tcPr>
            <w:tcW w:type="dxa" w:w="13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5.</w:t>
            </w:r>
          </w:p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Semestar</w:t>
            </w:r>
          </w:p>
        </w:tc>
        <w:tc>
          <w:tcPr>
            <w:tcW w:type="dxa" w:w="9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  <w:rPr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</w:rPr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zimski</w:t>
            </w:r>
          </w:p>
          <w:p>
            <w:pPr>
              <w:pStyle w:val="Tijelo A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" w:hAnsi="ＭＳ ゴシック" w:hint="default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ljetni</w:t>
            </w:r>
          </w:p>
        </w:tc>
        <w:tc>
          <w:tcPr>
            <w:tcW w:type="dxa" w:w="13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I.</w:t>
            </w:r>
          </w:p>
        </w:tc>
        <w:tc>
          <w:tcPr>
            <w:tcW w:type="dxa" w:w="10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II.</w:t>
            </w:r>
          </w:p>
        </w:tc>
        <w:tc>
          <w:tcPr>
            <w:tcW w:type="dxa" w:w="10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III.</w:t>
            </w:r>
          </w:p>
        </w:tc>
        <w:tc>
          <w:tcPr>
            <w:tcW w:type="dxa" w:w="107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IV.</w:t>
            </w:r>
          </w:p>
        </w:tc>
        <w:tc>
          <w:tcPr>
            <w:tcW w:type="dxa" w:w="119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V.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VI.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Status kolegija</w:t>
            </w:r>
          </w:p>
        </w:tc>
        <w:tc>
          <w:tcPr>
            <w:tcW w:type="dxa" w:w="9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obvezni kolegij</w:t>
            </w:r>
          </w:p>
        </w:tc>
        <w:tc>
          <w:tcPr>
            <w:tcW w:type="dxa" w:w="13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izborni kolegij</w:t>
            </w:r>
          </w:p>
        </w:tc>
        <w:tc>
          <w:tcPr>
            <w:tcW w:type="dxa" w:w="2632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izborni kolegij koji se nudi studentima drugih odjela</w:t>
            </w:r>
          </w:p>
        </w:tc>
        <w:tc>
          <w:tcPr>
            <w:tcW w:type="dxa" w:w="167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7"/>
                <w:szCs w:val="17"/>
                <w:shd w:val="nil" w:color="auto" w:fill="auto"/>
                <w:rtl w:val="0"/>
                <w:lang w:val="en-US"/>
              </w:rPr>
              <w:t>Nastavni</w:t>
            </w:r>
            <w:r>
              <w:rPr>
                <w:rFonts w:ascii="Merriweather Bold" w:hAnsi="Merriweather Bold" w:hint="default"/>
                <w:sz w:val="17"/>
                <w:szCs w:val="17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Merriweather Bold" w:hAnsi="Merriweather Bold"/>
                <w:sz w:val="17"/>
                <w:szCs w:val="17"/>
                <w:shd w:val="nil" w:color="auto" w:fill="auto"/>
                <w:rtl w:val="0"/>
                <w:lang w:val="en-US"/>
              </w:rPr>
              <w:t>ke kompetencije</w:t>
            </w:r>
          </w:p>
        </w:tc>
        <w:tc>
          <w:tcPr>
            <w:tcW w:type="dxa" w:w="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rPr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</w:rPr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DA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Optere</w:t>
            </w:r>
            <w:r>
              <w:rPr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enje </w:t>
            </w:r>
          </w:p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  <w:shd w:val="nil" w:color="auto" w:fill="auto"/>
                <w:rtl w:val="0"/>
              </w:rPr>
              <w:t>15</w:t>
            </w:r>
          </w:p>
        </w:tc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6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3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3151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Mre</w:t>
            </w:r>
            <w:r>
              <w:rPr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ne stranice kolegija</w:t>
            </w:r>
          </w:p>
        </w:tc>
        <w:tc>
          <w:tcPr>
            <w:tcW w:type="dxa" w:w="17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DA </w:t>
            </w:r>
            <w:r>
              <w:rPr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NE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Mjesto i vrijeme izvo</w:t>
            </w:r>
            <w:r>
              <w:rPr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enja nastave</w:t>
            </w:r>
          </w:p>
        </w:tc>
        <w:tc>
          <w:tcPr>
            <w:tcW w:type="dxa" w:w="255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dvorana 11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lang w:val="en-US"/>
              </w:rPr>
              <w:br w:type="textWrapping"/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srijedom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8-10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sati (P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>+S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32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Jezik/jezici na kojima se izvodi kolegij</w:t>
            </w:r>
          </w:p>
        </w:tc>
        <w:tc>
          <w:tcPr>
            <w:tcW w:type="dxa" w:w="262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hrvatski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etak nastave</w:t>
            </w:r>
          </w:p>
        </w:tc>
        <w:tc>
          <w:tcPr>
            <w:tcW w:type="dxa" w:w="2559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>28. 2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. 202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32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Zavr</w:t>
            </w:r>
            <w:r>
              <w:rPr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etak nastave</w:t>
            </w:r>
          </w:p>
        </w:tc>
        <w:tc>
          <w:tcPr>
            <w:tcW w:type="dxa" w:w="262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. 202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Preduvjeti za upis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56"/>
            <w:gridSpan w:val="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Nositelj kolegija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doc. dr. sc. Meri Zornija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3785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Hyperlink.0"/>
                <w:rFonts w:ascii="Merriweather Regular" w:cs="Merriweather Regular" w:hAnsi="Merriweather Regular" w:eastAsia="Merriweather Regular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Merriweather Regular" w:cs="Merriweather Regular" w:hAnsi="Merriweather Regular" w:eastAsia="Merriweather Regular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"mailto:mezornija@unizd.hr"</w:instrText>
            </w:r>
            <w:r>
              <w:rPr>
                <w:rStyle w:val="Hyperlink.0"/>
                <w:rFonts w:ascii="Merriweather Regular" w:cs="Merriweather Regular" w:hAnsi="Merriweather Regular" w:eastAsia="Merriweather Regular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Merriweather Regular" w:hAnsi="Merriweather Regular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mezornija@unizd.hr</w:t>
            </w:r>
            <w:r>
              <w:rPr/>
              <w:fldChar w:fldCharType="end" w:fldLock="0"/>
            </w:r>
          </w:p>
        </w:tc>
        <w:tc>
          <w:tcPr>
            <w:tcW w:type="dxa" w:w="141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Konzultacije</w:t>
            </w:r>
          </w:p>
        </w:tc>
        <w:tc>
          <w:tcPr>
            <w:tcW w:type="dxa" w:w="230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bit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 objavljen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na webu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Izvo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đ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č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kolegija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doc. dr. sc. Meri Zornija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56"/>
            <w:gridSpan w:val="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Vrste izvo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đ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enja nastave</w:t>
            </w:r>
          </w:p>
        </w:tc>
        <w:tc>
          <w:tcPr>
            <w:tcW w:type="dxa" w:w="15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predavanja</w:t>
            </w:r>
          </w:p>
        </w:tc>
        <w:tc>
          <w:tcPr>
            <w:tcW w:type="dxa" w:w="15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seminari i radionice</w:t>
            </w:r>
          </w:p>
        </w:tc>
        <w:tc>
          <w:tcPr>
            <w:tcW w:type="dxa" w:w="13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vje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be</w:t>
            </w:r>
          </w:p>
        </w:tc>
        <w:tc>
          <w:tcPr>
            <w:tcW w:type="dxa" w:w="17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obrazovanje na daljinu</w:t>
            </w:r>
          </w:p>
        </w:tc>
        <w:tc>
          <w:tcPr>
            <w:tcW w:type="dxa" w:w="13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terenska nastava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samostalni zadaci</w:t>
            </w:r>
          </w:p>
        </w:tc>
        <w:tc>
          <w:tcPr>
            <w:tcW w:type="dxa" w:w="15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multimedija i mre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3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laboratorij</w:t>
            </w:r>
          </w:p>
        </w:tc>
        <w:tc>
          <w:tcPr>
            <w:tcW w:type="dxa" w:w="17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mentorski rad</w:t>
            </w:r>
          </w:p>
        </w:tc>
        <w:tc>
          <w:tcPr>
            <w:tcW w:type="dxa" w:w="13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ostalo</w:t>
            </w:r>
          </w:p>
        </w:tc>
      </w:tr>
      <w:tr>
        <w:tblPrEx>
          <w:shd w:val="clear" w:color="auto" w:fill="ced7e7"/>
        </w:tblPrEx>
        <w:trPr>
          <w:trHeight w:val="2870" w:hRule="atLeast"/>
        </w:trPr>
        <w:tc>
          <w:tcPr>
            <w:tcW w:type="dxa" w:w="31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Ishodi u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enja kolegija</w:t>
            </w:r>
          </w:p>
        </w:tc>
        <w:tc>
          <w:tcPr>
            <w:tcW w:type="dxa" w:w="5949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 A"/>
              <w:numPr>
                <w:ilvl w:val="0"/>
                <w:numId w:val="1"/>
              </w:numPr>
              <w:spacing w:before="0" w:after="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nau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iti identificirati temeljne karakteristike stila u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kasnoanti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kim, ranokr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anskim i ranosrednjovjekovnim iluminiranim rukopisima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te znati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prepoznati najzna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ajnij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djela; </w:t>
            </w:r>
          </w:p>
          <w:p>
            <w:pPr>
              <w:pStyle w:val="Tijelo A A"/>
              <w:numPr>
                <w:ilvl w:val="0"/>
                <w:numId w:val="1"/>
              </w:numPr>
              <w:bidi w:val="0"/>
              <w:spacing w:before="0" w:after="0"/>
              <w:ind w:right="0"/>
              <w:jc w:val="left"/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analizirati i kriti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ki interpretirati likovne i arhitektonske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nl-NL"/>
              </w:rPr>
              <w:t xml:space="preserve"> fenomen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 u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mediju knji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nog slikarstva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, a zaklju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ke jasno izvesti primjenom osnovnih postulata povijesno-umjetni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ke metodologije i klasifikacije;</w:t>
            </w:r>
          </w:p>
          <w:p>
            <w:pPr>
              <w:pStyle w:val="Tijelo A A"/>
              <w:numPr>
                <w:ilvl w:val="0"/>
                <w:numId w:val="1"/>
              </w:numPr>
              <w:bidi w:val="0"/>
              <w:spacing w:before="0" w:after="0"/>
              <w:ind w:right="0"/>
              <w:jc w:val="left"/>
              <w:rPr>
                <w:rFonts w:ascii="Merriweather Regular" w:hAnsi="Merriweather Regular"/>
                <w:sz w:val="18"/>
                <w:szCs w:val="18"/>
                <w:rtl w:val="0"/>
                <w:lang w:val="de-DE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>kriti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ki definirati kontekst nastanka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iluminiranih rukopisa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s obzirom na specifi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ne povijesne i dru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tvene okolnosti;</w:t>
            </w:r>
          </w:p>
          <w:p>
            <w:pPr>
              <w:pStyle w:val="Tijelo A A"/>
              <w:numPr>
                <w:ilvl w:val="0"/>
                <w:numId w:val="1"/>
              </w:numPr>
              <w:bidi w:val="0"/>
              <w:spacing w:before="0" w:after="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>prepoznati i provesti analogije, sli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de-DE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>nosti i razlike me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de-DE"/>
              </w:rPr>
              <w:t>đ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u pojedinim umjetninama i uklopiti ih u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de-DE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iri kontekst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>europske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umjetnosti, uo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de-DE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>avaju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de-DE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>i njihove specifi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de-DE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de-DE"/>
              </w:rPr>
              <w:t>nosti.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310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Ishodi u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enja na razini programa</w:t>
            </w:r>
          </w:p>
        </w:tc>
        <w:tc>
          <w:tcPr>
            <w:tcW w:type="dxa" w:w="5949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 A"/>
              <w:numPr>
                <w:ilvl w:val="0"/>
                <w:numId w:val="2"/>
              </w:numPr>
              <w:spacing w:before="0" w:after="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ste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 vje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tine prepoznavanja, analiziranja i interpretiranja odre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đ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enih likovnih ili arhitektonskih djela ili fenomena te primijeniti ste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eno znanje u rje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avanju istra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it-IT"/>
              </w:rPr>
              <w:t>iva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kih problema odgovaraju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 slo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enosti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56"/>
            <w:gridSpan w:val="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5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Na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ini pra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enja studenata</w:t>
            </w:r>
          </w:p>
        </w:tc>
        <w:tc>
          <w:tcPr>
            <w:tcW w:type="dxa" w:w="15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poha</w:t>
            </w:r>
            <w:r>
              <w:rPr>
                <w:rStyle w:val="Bez"/>
                <w:rFonts w:ascii="Merriweather Regular" w:hAnsi="Merriweather Regular" w:hint="default"/>
                <w:sz w:val="16"/>
                <w:szCs w:val="16"/>
                <w:shd w:val="nil" w:color="auto" w:fill="auto"/>
                <w:rtl w:val="0"/>
                <w:lang w:val="en-US"/>
              </w:rPr>
              <w:t>đ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>anje nastave</w:t>
            </w:r>
          </w:p>
        </w:tc>
        <w:tc>
          <w:tcPr>
            <w:tcW w:type="dxa" w:w="15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priprema za nastavu</w:t>
            </w:r>
          </w:p>
        </w:tc>
        <w:tc>
          <w:tcPr>
            <w:tcW w:type="dxa" w:w="13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doma</w:t>
            </w:r>
            <w:r>
              <w:rPr>
                <w:rStyle w:val="Bez"/>
                <w:rFonts w:ascii="Merriweather Regular" w:hAnsi="Merriweather Regular" w:hint="default"/>
                <w:sz w:val="16"/>
                <w:szCs w:val="16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>e zada</w:t>
            </w:r>
            <w:r>
              <w:rPr>
                <w:rStyle w:val="Bez"/>
                <w:rFonts w:ascii="Merriweather Regular" w:hAnsi="Merriweather Regular" w:hint="default"/>
                <w:sz w:val="16"/>
                <w:szCs w:val="16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7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kontinuirana evaluacija</w:t>
            </w:r>
          </w:p>
        </w:tc>
        <w:tc>
          <w:tcPr>
            <w:tcW w:type="dxa" w:w="13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istra</w:t>
            </w:r>
            <w:r>
              <w:rPr>
                <w:rStyle w:val="Bez"/>
                <w:rFonts w:ascii="Merriweather Regular" w:hAnsi="Merriweather Regular" w:hint="default"/>
                <w:sz w:val="16"/>
                <w:szCs w:val="16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>ivanje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prakti</w:t>
            </w:r>
            <w:r>
              <w:rPr>
                <w:rStyle w:val="Bez"/>
                <w:rFonts w:ascii="Merriweather Regular" w:hAnsi="Merriweather Regular" w:hint="default"/>
                <w:sz w:val="16"/>
                <w:szCs w:val="16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>ni rad</w:t>
            </w:r>
          </w:p>
        </w:tc>
        <w:tc>
          <w:tcPr>
            <w:tcW w:type="dxa" w:w="15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5"/>
                <w:szCs w:val="15"/>
                <w:shd w:val="nil" w:color="auto" w:fill="auto"/>
                <w:rtl w:val="0"/>
                <w:lang w:val="en-US"/>
              </w:rPr>
              <w:t>eksperimentalni rad</w:t>
            </w:r>
          </w:p>
        </w:tc>
        <w:tc>
          <w:tcPr>
            <w:tcW w:type="dxa" w:w="13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izlaganje</w:t>
            </w:r>
          </w:p>
        </w:tc>
        <w:tc>
          <w:tcPr>
            <w:tcW w:type="dxa" w:w="17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projekt</w:t>
            </w:r>
          </w:p>
        </w:tc>
        <w:tc>
          <w:tcPr>
            <w:tcW w:type="dxa" w:w="13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it-IT"/>
              </w:rPr>
              <w:t>seminar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kolokvij(i)</w:t>
            </w:r>
          </w:p>
        </w:tc>
        <w:tc>
          <w:tcPr>
            <w:tcW w:type="dxa" w:w="15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pismeni ispit</w:t>
            </w:r>
          </w:p>
        </w:tc>
        <w:tc>
          <w:tcPr>
            <w:tcW w:type="dxa" w:w="13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usmeni ispit</w:t>
            </w:r>
          </w:p>
        </w:tc>
        <w:tc>
          <w:tcPr>
            <w:tcW w:type="dxa" w:w="303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ostalo: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Uvjeti pristupanja ispitu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it-IT"/>
              </w:rPr>
              <w:t>Studenti su du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ni odslu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ati najmanje 70% predavanja, te sudjelovati u radu i diskusiji na najmanje 70% seminara (u slu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aju kolizije 40% predavanja i 40% seminara).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Ispitni rokovi</w:t>
            </w:r>
          </w:p>
        </w:tc>
        <w:tc>
          <w:tcPr>
            <w:tcW w:type="dxa" w:w="293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rtl w:val="0"/>
                <w:lang w:val="en-US"/>
              </w:rPr>
              <w:t>☐</w:t>
            </w:r>
            <w:r>
              <w:rPr>
                <w:rStyle w:val="Bez"/>
                <w:rFonts w:ascii="ＭＳ ゴシック" w:hAnsi="ＭＳ ゴシック"/>
                <w:sz w:val="17"/>
                <w:szCs w:val="17"/>
                <w:rtl w:val="0"/>
                <w:lang w:val="en-US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zimski ispitni rok </w:t>
            </w:r>
          </w:p>
        </w:tc>
        <w:tc>
          <w:tcPr>
            <w:tcW w:type="dxa" w:w="259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ljetni ispitni rok</w:t>
            </w:r>
          </w:p>
        </w:tc>
        <w:tc>
          <w:tcPr>
            <w:tcW w:type="dxa" w:w="198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jesenski ispitni rok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Termini ispitnih rokova</w:t>
            </w:r>
          </w:p>
        </w:tc>
        <w:tc>
          <w:tcPr>
            <w:tcW w:type="dxa" w:w="2931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bit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 objavljeni na webu</w:t>
            </w:r>
          </w:p>
        </w:tc>
        <w:tc>
          <w:tcPr>
            <w:tcW w:type="dxa" w:w="259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bit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 objavljeni na webu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Opis kolegija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 xml:space="preserve">Cilj kolegija je stjecanje temeljnih 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>injeni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>nih i teorijskih spoznaja o umjetnosti oslikavanja rukopisnih kodeksa od njihove pojave u kasnoj antici do kraja ranog srednjeg vijeka, uz kriti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>ko razumijevanje osnovnih stilskih fenomena i prepoznavanje temeljnih djela knji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</w:rPr>
              <w:t>ž</w:t>
            </w: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>nog slikarstva u tom razdoblju.</w:t>
            </w:r>
          </w:p>
          <w:p>
            <w:pPr>
              <w:pStyle w:val="Tijelo A"/>
              <w:tabs>
                <w:tab w:val="left" w:pos="1218"/>
              </w:tabs>
              <w:spacing w:before="20" w:after="20"/>
            </w:pPr>
          </w:p>
        </w:tc>
      </w:tr>
      <w:tr>
        <w:tblPrEx>
          <w:shd w:val="clear" w:color="auto" w:fill="ced7e7"/>
        </w:tblPrEx>
        <w:trPr>
          <w:trHeight w:val="273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Sadr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aj kolegija (nastavne teme)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Uvod u materiju: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 osnovna terminologija vezana uz kodeks, pergamenu i umjetnost iluminacije. Povijesni razvoj pisma i vrste liturgijskih knjiga do 11. stolje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a.</w:t>
            </w:r>
          </w:p>
          <w:p>
            <w:pPr>
              <w:pStyle w:val="Tijelo A"/>
              <w:tabs>
                <w:tab w:val="left" w:pos="1218"/>
              </w:tabs>
              <w:spacing w:before="20" w:after="20"/>
              <w:rPr>
                <w:rFonts w:ascii="Merriweather Regular" w:cs="Merriweather Regular" w:hAnsi="Merriweather Regular" w:eastAsia="Merriweather Regular"/>
                <w:sz w:val="18"/>
                <w:szCs w:val="18"/>
              </w:rPr>
            </w:pPr>
          </w:p>
          <w:p>
            <w:pPr>
              <w:pStyle w:val="Tijelo A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Kasnoanti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ki, ranokr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>šć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anski i bizantski iluminirani rukopisi: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 razvoj stila, porijeklo rukopisa i najzna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ajniji primjeri iz svjetskih zbirki. Najstariji oslikani prijepisi anti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kih tekstova; fenomen purpurnih kodeksa; rukopisi nastali u samostanskom ozra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ju.</w:t>
            </w:r>
          </w:p>
          <w:p>
            <w:pPr>
              <w:pStyle w:val="Tijelo A"/>
              <w:tabs>
                <w:tab w:val="left" w:pos="1218"/>
              </w:tabs>
              <w:spacing w:before="20" w:after="20"/>
              <w:rPr>
                <w:rFonts w:ascii="Merriweather Regular" w:cs="Merriweather Regular" w:hAnsi="Merriweather Regular" w:eastAsia="Merriweather Regular"/>
                <w:sz w:val="18"/>
                <w:szCs w:val="18"/>
              </w:rPr>
            </w:pPr>
          </w:p>
          <w:p>
            <w:pPr>
              <w:pStyle w:val="Tijelo A"/>
              <w:numPr>
                <w:ilvl w:val="0"/>
                <w:numId w:val="3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Ranosrednjovjekovna iluminacija: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 inzularni stil na britanskom oto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ju </w:t>
            </w: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>i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 na kontinentu; najzna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ajniji primjeri merovin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kih, karolin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kih i otonskih rukopisa - 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kole i skriptoriji. Osnovni pregled mozarapske iluminacije.</w:t>
            </w:r>
          </w:p>
        </w:tc>
      </w:tr>
      <w:tr>
        <w:tblPrEx>
          <w:shd w:val="clear" w:color="auto" w:fill="ced7e7"/>
        </w:tblPrEx>
        <w:trPr>
          <w:trHeight w:val="347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Obvezna literatura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rPr>
                <w:rFonts w:ascii="Merriweather Bold" w:cs="Merriweather Bold" w:hAnsi="Merriweather Bold" w:eastAsia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  <w:rtl w:val="0"/>
                <w:lang w:val="en-US"/>
              </w:rPr>
              <w:t>POVIJESNI PREGLEDI:</w:t>
            </w:r>
          </w:p>
          <w:p>
            <w:pPr>
              <w:pStyle w:val="Tijelo A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Ingo F. Walther, Norbert Wolf: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 xml:space="preserve">Masterpieces of illumination 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The world's most beautiful illuminated manuscripts 400 to 1600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Taschen, Koln, 2005. (do 135. str.)</w:t>
            </w:r>
          </w:p>
          <w:p>
            <w:pPr>
              <w:pStyle w:val="Tijelo A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Kurt Weitzmann: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Late antique and early christian book illumination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New York, 1977.</w:t>
            </w:r>
          </w:p>
          <w:p>
            <w:pPr>
              <w:pStyle w:val="Tijelo A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Carl Nordenfalk: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 xml:space="preserve">Book illumination 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Early middle ages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Geneva, 1995.</w:t>
            </w:r>
          </w:p>
          <w:p>
            <w:pPr>
              <w:pStyle w:val="Tijelo A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Christopher De Hamel: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A history of illuminated manuscripts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, London, 1986. ili 1997. (prva dva poglavlja 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do 76. str.)</w:t>
            </w:r>
          </w:p>
          <w:p>
            <w:pPr>
              <w:pStyle w:val="Tijelo A"/>
              <w:tabs>
                <w:tab w:val="left" w:pos="1218"/>
              </w:tabs>
              <w:spacing w:before="20" w:after="20"/>
              <w:rPr>
                <w:rFonts w:ascii="Merriweather Regular" w:cs="Merriweather Regular" w:hAnsi="Merriweather Regular" w:eastAsia="Merriweather Regular"/>
                <w:sz w:val="18"/>
                <w:szCs w:val="18"/>
              </w:rPr>
            </w:pPr>
          </w:p>
          <w:p>
            <w:pPr>
              <w:pStyle w:val="Tijelo A"/>
              <w:tabs>
                <w:tab w:val="left" w:pos="1218"/>
              </w:tabs>
              <w:spacing w:before="20" w:after="20"/>
              <w:rPr>
                <w:rFonts w:ascii="Merriweather Bold" w:cs="Merriweather Bold" w:hAnsi="Merriweather Bold" w:eastAsia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  <w:rtl w:val="0"/>
                <w:lang w:val="en-US"/>
              </w:rPr>
              <w:t>PRIRU</w:t>
            </w:r>
            <w:r>
              <w:rPr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Merriweather Bold" w:hAnsi="Merriweather Bold"/>
                <w:sz w:val="18"/>
                <w:szCs w:val="18"/>
                <w:rtl w:val="0"/>
                <w:lang w:val="en-US"/>
              </w:rPr>
              <w:t>NICI:</w:t>
            </w:r>
          </w:p>
          <w:p>
            <w:pPr>
              <w:pStyle w:val="Tijelo A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Michelle P. Brown: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Understanding illuminated manuscripts - A guide to technical terms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1994.</w:t>
            </w: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 xml:space="preserve"> ili novije</w:t>
            </w:r>
          </w:p>
          <w:p>
            <w:pPr>
              <w:pStyle w:val="Tijelo A"/>
              <w:numPr>
                <w:ilvl w:val="0"/>
                <w:numId w:val="4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</w:rPr>
              <w:t>J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akov Stipi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i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Pomo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ne povijesne znanosti u teoriji i praksi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kolska knjiga Zagreb, 1985. (poglavlje o latinskoj paleografiji, do str. 138.)</w:t>
            </w:r>
          </w:p>
        </w:tc>
      </w:tr>
      <w:tr>
        <w:tblPrEx>
          <w:shd w:val="clear" w:color="auto" w:fill="ced7e7"/>
        </w:tblPrEx>
        <w:trPr>
          <w:trHeight w:val="253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Dodatna literatura 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numPr>
                <w:ilvl w:val="0"/>
                <w:numId w:val="5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Christopher De Hamel: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 xml:space="preserve"> The Book. A History of the Bible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Phaidon Press Limited, 2001. (do 63. str.)</w:t>
            </w:r>
          </w:p>
          <w:p>
            <w:pPr>
              <w:pStyle w:val="Tijelo A"/>
              <w:numPr>
                <w:ilvl w:val="0"/>
                <w:numId w:val="5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Lyn Rodley: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 xml:space="preserve">Byzantine art and architecture 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An introduction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Cambridge University Press, 2001. (poglavlja o bizantskim rukopisima: str. 104-111, 179-190, 247-259, 325-338)</w:t>
            </w:r>
          </w:p>
          <w:p>
            <w:pPr>
              <w:pStyle w:val="Tijelo A"/>
              <w:numPr>
                <w:ilvl w:val="0"/>
                <w:numId w:val="5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C. R. Dodwell: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Pictorial arts od the West 800-1200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Yale University Press, Pelican history of art, 1993. (poglavlja o karolin</w:t>
            </w:r>
            <w:r>
              <w:rPr>
                <w:rFonts w:ascii="Merriweather Regular" w:hAnsi="Merriweather Regular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kim i otonskim rukopisima)</w:t>
            </w:r>
          </w:p>
          <w:p>
            <w:pPr>
              <w:pStyle w:val="Tijelo A"/>
              <w:numPr>
                <w:ilvl w:val="0"/>
                <w:numId w:val="5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Otto Pacht: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La miniatura medievale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Torino, 2004.</w:t>
            </w:r>
          </w:p>
          <w:p>
            <w:pPr>
              <w:pStyle w:val="Tijelo A"/>
              <w:numPr>
                <w:ilvl w:val="0"/>
                <w:numId w:val="5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Michelle P. Brown: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A guide to western historical scripts from antiquity to 1600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 British Library, 2007.</w:t>
            </w:r>
          </w:p>
          <w:p>
            <w:pPr>
              <w:pStyle w:val="Tijelo A"/>
              <w:numPr>
                <w:ilvl w:val="0"/>
                <w:numId w:val="5"/>
              </w:numPr>
              <w:spacing w:before="2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 xml:space="preserve">Marc Drogin: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 xml:space="preserve">Medieval calligraphy 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rtl w:val="0"/>
                <w:lang w:val="en-US"/>
              </w:rPr>
              <w:t>Its history and technique</w:t>
            </w:r>
            <w:r>
              <w:rPr>
                <w:rFonts w:ascii="Merriweather Regular" w:hAnsi="Merriweather Regular"/>
                <w:sz w:val="18"/>
                <w:szCs w:val="18"/>
                <w:rtl w:val="0"/>
                <w:lang w:val="en-US"/>
              </w:rPr>
              <w:t>, New York, 1989.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Mre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ni izvori 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</w:pPr>
            <w:r>
              <w:rPr>
                <w:rFonts w:ascii="Merriweather Regular" w:hAnsi="Merriweather Regular"/>
                <w:sz w:val="18"/>
                <w:szCs w:val="18"/>
                <w:u w:color="0000ff"/>
                <w:rtl w:val="0"/>
              </w:rPr>
              <w:t>Mati</w:t>
            </w:r>
            <w:r>
              <w:rPr>
                <w:rFonts w:ascii="Merriweather Regular" w:hAnsi="Merriweather Regular" w:hint="default"/>
                <w:sz w:val="18"/>
                <w:szCs w:val="18"/>
                <w:u w:color="0000ff"/>
                <w:rtl w:val="0"/>
              </w:rPr>
              <w:t>č</w:t>
            </w:r>
            <w:r>
              <w:rPr>
                <w:rFonts w:ascii="Merriweather Regular" w:hAnsi="Merriweather Regular"/>
                <w:sz w:val="18"/>
                <w:szCs w:val="18"/>
                <w:u w:color="0000ff"/>
                <w:rtl w:val="0"/>
              </w:rPr>
              <w:t>ne stranice British Library, Bibliotheque Nationale de France, Biblioteca Apostolica Vaticana, Bodleian Library i dr., s digitaliziranim rukopisima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Provjera ishoda u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enja (prema uputama AZVO)</w:t>
            </w:r>
          </w:p>
        </w:tc>
        <w:tc>
          <w:tcPr>
            <w:tcW w:type="dxa" w:w="5871"/>
            <w:gridSpan w:val="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Samo zavr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ni ispit</w:t>
            </w:r>
          </w:p>
        </w:tc>
        <w:tc>
          <w:tcPr>
            <w:tcW w:type="dxa" w:w="16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08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  <w:rPr>
                <w:rStyle w:val="Bez"/>
                <w:rFonts w:ascii="Merriweather Regular" w:cs="Merriweather Regular" w:hAnsi="Merriweather Regular" w:eastAsia="Merriweather Regular"/>
                <w:sz w:val="17"/>
                <w:szCs w:val="17"/>
                <w:shd w:val="nil" w:color="auto" w:fill="auto"/>
              </w:rPr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zavr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</w:t>
            </w:r>
          </w:p>
          <w:p>
            <w:pPr>
              <w:pStyle w:val="Tijelo A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pismeni ispit</w:t>
            </w:r>
          </w:p>
        </w:tc>
        <w:tc>
          <w:tcPr>
            <w:tcW w:type="dxa" w:w="191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  <w:rPr>
                <w:rStyle w:val="Bez"/>
                <w:rFonts w:ascii="Merriweather Regular" w:cs="Merriweather Regular" w:hAnsi="Merriweather Regular" w:eastAsia="Merriweather Regular"/>
                <w:sz w:val="17"/>
                <w:szCs w:val="17"/>
                <w:shd w:val="nil" w:color="auto" w:fill="auto"/>
              </w:rPr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zavr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</w:t>
            </w:r>
          </w:p>
          <w:p>
            <w:pPr>
              <w:pStyle w:val="Tijelo A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usmeni ispit</w:t>
            </w:r>
          </w:p>
        </w:tc>
        <w:tc>
          <w:tcPr>
            <w:tcW w:type="dxa" w:w="187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pismeni i usmeni zavr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 ispit</w:t>
            </w:r>
          </w:p>
        </w:tc>
        <w:tc>
          <w:tcPr>
            <w:tcW w:type="dxa" w:w="16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prakti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 rad i zavr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 ispit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2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samo kolokvij/zada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153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kolokvij / zada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a i zavr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 ispit</w:t>
            </w:r>
          </w:p>
        </w:tc>
        <w:tc>
          <w:tcPr>
            <w:tcW w:type="dxa" w:w="122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  <w:rPr>
                <w:rStyle w:val="Bez"/>
                <w:rFonts w:ascii="Merriweather Regular" w:cs="Merriweather Regular" w:hAnsi="Merriweather Regular" w:eastAsia="Merriweather Regular"/>
                <w:sz w:val="17"/>
                <w:szCs w:val="17"/>
                <w:shd w:val="nil" w:color="auto" w:fill="auto"/>
              </w:rPr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seminarski</w:t>
            </w:r>
          </w:p>
          <w:p>
            <w:pPr>
              <w:pStyle w:val="Tijelo A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rad</w:t>
            </w:r>
          </w:p>
        </w:tc>
        <w:tc>
          <w:tcPr>
            <w:tcW w:type="dxa" w:w="10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spacing w:before="20" w:after="20"/>
              <w:jc w:val="center"/>
              <w:rPr>
                <w:rStyle w:val="Bez"/>
                <w:rFonts w:ascii="Merriweather Regular" w:cs="Merriweather Regular" w:hAnsi="Merriweather Regular" w:eastAsia="Merriweather Regular"/>
                <w:sz w:val="17"/>
                <w:szCs w:val="17"/>
                <w:shd w:val="nil" w:color="auto" w:fill="auto"/>
              </w:rPr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seminarski</w:t>
            </w:r>
          </w:p>
          <w:p>
            <w:pPr>
              <w:pStyle w:val="Tijelo A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rad i zavr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 ispit</w:t>
            </w:r>
          </w:p>
        </w:tc>
        <w:tc>
          <w:tcPr>
            <w:tcW w:type="dxa" w:w="135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prakti</w:t>
            </w:r>
            <w:r>
              <w:rPr>
                <w:rStyle w:val="Bez"/>
                <w:rFonts w:ascii="Merriweather Regular" w:hAnsi="Merriweather Regular" w:hint="default"/>
                <w:sz w:val="17"/>
                <w:szCs w:val="17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>ni rad</w:t>
            </w:r>
          </w:p>
        </w:tc>
        <w:tc>
          <w:tcPr>
            <w:tcW w:type="dxa" w:w="11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7"/>
                <w:szCs w:val="17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drugi oblici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Na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in formiranja zavr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ne ocjene (%)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both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>100% zavr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</w:rPr>
              <w:t>ni usmeni ispit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Ocjenjivanje kolokvija i zavr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nog ispita (%)</w:t>
            </w:r>
          </w:p>
        </w:tc>
        <w:tc>
          <w:tcPr>
            <w:tcW w:type="dxa" w:w="13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6"/>
                <w:szCs w:val="16"/>
                <w:shd w:val="nil" w:color="auto" w:fill="auto"/>
                <w:rtl w:val="0"/>
                <w:lang w:val="en-US"/>
              </w:rPr>
              <w:t>manje od 60 %</w:t>
            </w:r>
          </w:p>
        </w:tc>
        <w:tc>
          <w:tcPr>
            <w:tcW w:type="dxa" w:w="6109"/>
            <w:gridSpan w:val="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% nedovoljan (1)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3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60-70%</w:t>
            </w:r>
          </w:p>
        </w:tc>
        <w:tc>
          <w:tcPr>
            <w:tcW w:type="dxa" w:w="6109"/>
            <w:gridSpan w:val="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% dovoljan (2)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3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70-80 %</w:t>
            </w:r>
          </w:p>
        </w:tc>
        <w:tc>
          <w:tcPr>
            <w:tcW w:type="dxa" w:w="6109"/>
            <w:gridSpan w:val="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% dobar (3)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3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80-90 %</w:t>
            </w:r>
          </w:p>
        </w:tc>
        <w:tc>
          <w:tcPr>
            <w:tcW w:type="dxa" w:w="6109"/>
            <w:gridSpan w:val="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% vrlo dobar (4)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5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3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90-100 %</w:t>
            </w:r>
          </w:p>
        </w:tc>
        <w:tc>
          <w:tcPr>
            <w:tcW w:type="dxa" w:w="6109"/>
            <w:gridSpan w:val="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% izvrstan (5)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Na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it-IT"/>
              </w:rPr>
              <w:t>in pra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enja kvalitete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 A"/>
              <w:tabs>
                <w:tab w:val="left" w:pos="1218"/>
              </w:tabs>
              <w:spacing w:before="20" w:after="20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studentska evaluacija nastave na razini Sveu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ili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ta 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studentska evaluacija nastave na razini sastavnice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interna evaluacija nastave 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☒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tematske sjednice stru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nih vije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 sastavnica o kvaliteti nastave i rezultatima studentske ankete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shd w:val="nil" w:color="auto" w:fill="auto"/>
                <w:rtl w:val="0"/>
                <w:lang w:val="en-US"/>
              </w:rPr>
              <w:t>☐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ostalo</w:t>
            </w:r>
          </w:p>
        </w:tc>
      </w:tr>
      <w:tr>
        <w:tblPrEx>
          <w:shd w:val="clear" w:color="auto" w:fill="ced7e7"/>
        </w:tblPrEx>
        <w:trPr>
          <w:trHeight w:val="6231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spacing w:before="20" w:after="20"/>
              <w:rPr>
                <w:rStyle w:val="Bez"/>
                <w:rFonts w:ascii="Merriweather Bold" w:cs="Merriweather Bold" w:hAnsi="Merriweather Bold" w:eastAsia="Merriweather Bold"/>
                <w:sz w:val="18"/>
                <w:szCs w:val="18"/>
                <w:shd w:val="nil" w:color="auto" w:fill="auto"/>
              </w:rPr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Napomena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ru-RU"/>
              </w:rPr>
              <w:t> </w:t>
            </w: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Bez"/>
                <w:rFonts w:ascii="Merriweather Bold" w:hAnsi="Merriweather Bold" w:hint="default"/>
                <w:sz w:val="18"/>
                <w:szCs w:val="18"/>
                <w:shd w:val="nil" w:color="auto" w:fill="auto"/>
                <w:rtl w:val="0"/>
                <w:lang w:val="ru-RU"/>
              </w:rPr>
              <w:t> </w:t>
            </w:r>
          </w:p>
          <w:p>
            <w:pPr>
              <w:pStyle w:val="Tijelo A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Style w:val="Bez"/>
                <w:rFonts w:ascii="Merriweather Bold" w:hAnsi="Merriweather Bold"/>
                <w:sz w:val="18"/>
                <w:szCs w:val="18"/>
                <w:shd w:val="nil" w:color="auto" w:fill="auto"/>
                <w:rtl w:val="0"/>
                <w:lang w:val="en-US"/>
              </w:rPr>
              <w:t>Ostalo</w:t>
            </w:r>
          </w:p>
        </w:tc>
        <w:tc>
          <w:tcPr>
            <w:tcW w:type="dxa" w:w="7505"/>
            <w:gridSpan w:val="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 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Sukladno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l. 6. </w:t>
            </w:r>
            <w:r>
              <w:rPr>
                <w:rStyle w:val="Bez"/>
                <w:rFonts w:ascii="Merriweather Light" w:hAnsi="Merriweather Ligh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Eti</w:t>
            </w:r>
            <w:r>
              <w:rPr>
                <w:rStyle w:val="Bez"/>
                <w:rFonts w:ascii="Merriweather Light" w:hAnsi="Merriweather Light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Light" w:hAnsi="Merriweather Ligh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kog kodeksa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Odbora za etiku u znanosti i visokom obrazovanju,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„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od studenta se 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ekuje da po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teno i eti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no ispunjava svoje obveze, da mu je temeljni cilj akademska izvrsnost, da se pona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 civilizirano, s po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tovanjem i bez predrasuda</w:t>
            </w:r>
            <w:r>
              <w:rPr>
                <w:rStyle w:val="Bez"/>
                <w:rFonts w:ascii="Arial Unicode MS" w:hAnsi="Arial Unicode MS" w:hint="default"/>
                <w:sz w:val="18"/>
                <w:szCs w:val="18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Prema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l. 14. </w:t>
            </w:r>
            <w:r>
              <w:rPr>
                <w:rStyle w:val="Bez"/>
                <w:rFonts w:ascii="Merriweather Light" w:hAnsi="Merriweather Ligh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Eti</w:t>
            </w:r>
            <w:r>
              <w:rPr>
                <w:rStyle w:val="Bez"/>
                <w:rFonts w:ascii="Merriweather Light" w:hAnsi="Merriweather Light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Light" w:hAnsi="Merriweather Ligh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kog kodeksa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Sveu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ili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ta u Zadru, od studenata se 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ekuje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„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odgovorno i savjesno ispunjavanje obveza. [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pt-PT"/>
              </w:rPr>
              <w:t>] Du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nost je studenata/studentica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uvati ugled i dostojanstvo svih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lanova/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lanica sveu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ili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ne zajednice i Sveu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ili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ta u Zadru u cjelini, promovirati moralne i akademske vrijednosti i na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ela.</w:t>
            </w:r>
            <w:r>
              <w:rPr>
                <w:rStyle w:val="Bez"/>
                <w:rFonts w:ascii="Merriweather Regular" w:hAnsi="Merriweather Regular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pt-PT"/>
              </w:rPr>
              <w:t>[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] 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it-IT"/>
              </w:rPr>
              <w:t>Eti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ki je nedopu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ten svaki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in koji predstavlja povrjedu akademskog po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tenja. To uklju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uje, ali se ne ograni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ava samo na: 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- razne oblike prijevare kao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to su uporaba ili posjedovanje knjiga, bilje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aka, podataka, elektroni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kih naprava ili drugih pomagala za vrijeme ispita, osim u slu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ajevima kada je to izrijekom dopu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teno; 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- razne oblike krivotvorenja kao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to su uporaba ili posjedovanje neautorizirana materijala tijekom ispita; la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no predstavljanje i nazo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nost ispitima u ime drugih studenata; la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iranje dokumenata u vezi sa studijima; falsificiranje potpisa i ocjena; krivotvorenje rezultata ispita</w:t>
            </w:r>
            <w:r>
              <w:rPr>
                <w:rStyle w:val="Bez"/>
                <w:rFonts w:ascii="Arial Unicode MS" w:hAnsi="Arial Unicode MS" w:hint="default"/>
                <w:sz w:val="18"/>
                <w:szCs w:val="18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Svi oblici neeti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nog pona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anja rezultirat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 negativnom ocjenom u kolegiju bez mogu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nosti nadoknade ili popravka. U slu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aju te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ih povreda primjenjuje se </w:t>
            </w:r>
            <w:r>
              <w:rPr>
                <w:rStyle w:val="Hyperlink.1"/>
                <w:rFonts w:ascii="Merriweather Regular" w:cs="Merriweather Regular" w:hAnsi="Merriweather Regular" w:eastAsia="Merriweather Regular"/>
                <w:i w:val="1"/>
                <w:iCs w:val="1"/>
                <w:sz w:val="18"/>
                <w:szCs w:val="18"/>
                <w:u w:val="single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rFonts w:ascii="Merriweather Regular" w:cs="Merriweather Regular" w:hAnsi="Merriweather Regular" w:eastAsia="Merriweather Regular"/>
                <w:i w:val="1"/>
                <w:iCs w:val="1"/>
                <w:sz w:val="18"/>
                <w:szCs w:val="18"/>
                <w:u w:val="single"/>
                <w:shd w:val="nil" w:color="auto" w:fill="auto"/>
                <w:lang w:val="en-US"/>
              </w:rPr>
              <w:instrText xml:space="preserve"> HYPERLINK "http://www.unizd.hr/Portals/0/doc/doc_pdf_dokumenti/pravilnici/pravilnik_o_stegovnoj_odgovornosti_studenata_20150917.pdf"</w:instrText>
            </w:r>
            <w:r>
              <w:rPr>
                <w:rStyle w:val="Hyperlink.1"/>
                <w:rFonts w:ascii="Merriweather Regular" w:cs="Merriweather Regular" w:hAnsi="Merriweather Regular" w:eastAsia="Merriweather Regular"/>
                <w:i w:val="1"/>
                <w:iCs w:val="1"/>
                <w:sz w:val="18"/>
                <w:szCs w:val="18"/>
                <w:u w:val="single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rFonts w:ascii="Merriweather Regular" w:hAnsi="Merriweather Regular"/>
                <w:i w:val="1"/>
                <w:i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Pravilnik o stegovnoj odgovornosti studenata/studentica Sveu</w:t>
            </w:r>
            <w:r>
              <w:rPr>
                <w:rStyle w:val="Hyperlink.1"/>
                <w:rFonts w:ascii="Merriweather Regular" w:hAnsi="Merriweather Regular" w:hint="default"/>
                <w:i w:val="1"/>
                <w:i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Hyperlink.1"/>
                <w:rFonts w:ascii="Merriweather Regular" w:hAnsi="Merriweather Regular"/>
                <w:i w:val="1"/>
                <w:i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ili</w:t>
            </w:r>
            <w:r>
              <w:rPr>
                <w:rStyle w:val="Hyperlink.1"/>
                <w:rFonts w:ascii="Merriweather Regular" w:hAnsi="Merriweather Regular" w:hint="default"/>
                <w:i w:val="1"/>
                <w:i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Hyperlink.1"/>
                <w:rFonts w:ascii="Merriweather Regular" w:hAnsi="Merriweather Regular"/>
                <w:i w:val="1"/>
                <w:i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ta u Zadru</w:t>
            </w:r>
            <w:r>
              <w:rPr>
                <w:rFonts w:ascii="Merriweather Regular" w:cs="Merriweather Regular" w:hAnsi="Merriweather Regular" w:eastAsia="Merriweather Regular"/>
                <w:sz w:val="18"/>
                <w:szCs w:val="18"/>
              </w:rPr>
              <w:fldChar w:fldCharType="end" w:fldLock="0"/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ijelo 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U elektronskoj komunikaciji bit 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 odgovarano samo na poruke koje dolaze s poznatih adresa s imenom i prezimenom, te koje su napisane hrvatskim standardom i primjerenim akademskim stilom.</w:t>
            </w:r>
          </w:p>
          <w:p>
            <w:pPr>
              <w:pStyle w:val="Tijelo A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Merriweather Regular" w:cs="Merriweather Regular" w:hAnsi="Merriweather Regular" w:eastAsia="Merriweather Regular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ijelo A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tl w:val="0"/>
              </w:rPr>
            </w:pP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U kolegiju se koristi Merlin, sustav za e-u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en-US"/>
              </w:rPr>
              <w:t>enje, pa su studentima/cama potrebni AAI ra</w:t>
            </w:r>
            <w:r>
              <w:rPr>
                <w:rStyle w:val="Bez"/>
                <w:rFonts w:ascii="Merriweather Regular" w:hAnsi="Merriweather Regular" w:hint="default"/>
                <w:sz w:val="18"/>
                <w:szCs w:val="18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Bez"/>
                <w:rFonts w:ascii="Merriweather Regular" w:hAnsi="Merriweather Regular"/>
                <w:sz w:val="18"/>
                <w:szCs w:val="18"/>
                <w:shd w:val="nil" w:color="auto" w:fill="auto"/>
                <w:rtl w:val="0"/>
                <w:lang w:val="it-IT"/>
              </w:rPr>
              <w:t>uni.</w:t>
            </w:r>
          </w:p>
        </w:tc>
      </w:tr>
    </w:tbl>
    <w:p>
      <w:pPr>
        <w:pStyle w:val="Tijelo A"/>
        <w:widowControl w:val="0"/>
        <w:jc w:val="center"/>
      </w:pPr>
      <w:r>
        <w:rPr>
          <w:rStyle w:val="Bez"/>
          <w:rFonts w:ascii="Merriweather Bold" w:cs="Merriweather Bold" w:hAnsi="Merriweather Bold" w:eastAsia="Merriweather Bold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erriweather Bold">
    <w:charset w:val="00"/>
    <w:family w:val="roman"/>
    <w:pitch w:val="default"/>
  </w:font>
  <w:font w:name="Calibri">
    <w:charset w:val="00"/>
    <w:family w:val="roman"/>
    <w:pitch w:val="default"/>
  </w:font>
  <w:font w:name="Merriweather Regular">
    <w:charset w:val="00"/>
    <w:family w:val="roman"/>
    <w:pitch w:val="default"/>
  </w:font>
  <w:font w:name="Merriweather Light">
    <w:charset w:val="00"/>
    <w:family w:val="roman"/>
    <w:pitch w:val="default"/>
  </w:font>
  <w:font w:name="Herculanum">
    <w:charset w:val="00"/>
    <w:family w:val="roman"/>
    <w:pitch w:val="default"/>
  </w:font>
  <w:font w:name="Papyrus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Merriweather Regular" w:cs="Merriweather Regular" w:hAnsi="Merriweather Regular" w:eastAsia="Merriweather Regular"/>
          <w:sz w:val="24"/>
          <w:szCs w:val="24"/>
          <w:vertAlign w:val="superscript"/>
        </w:rPr>
        <w:footnoteRef/>
      </w:r>
      <w:r>
        <w:rPr>
          <w:rFonts w:ascii="Merriweather Regular" w:hAnsi="Merriweather Regular"/>
          <w:sz w:val="15"/>
          <w:szCs w:val="15"/>
          <w:rtl w:val="0"/>
          <w:lang w:val="en-US"/>
        </w:rPr>
        <w:t xml:space="preserve"> Rije</w:t>
      </w:r>
      <w:r>
        <w:rPr>
          <w:rFonts w:ascii="Merriweather Regular" w:hAnsi="Merriweather Regular" w:hint="default"/>
          <w:sz w:val="15"/>
          <w:szCs w:val="15"/>
          <w:rtl w:val="0"/>
          <w:lang w:val="en-US"/>
        </w:rPr>
        <w:t>č</w:t>
      </w:r>
      <w:r>
        <w:rPr>
          <w:rFonts w:ascii="Merriweather Regular" w:hAnsi="Merriweather Regular"/>
          <w:sz w:val="15"/>
          <w:szCs w:val="15"/>
          <w:rtl w:val="0"/>
          <w:lang w:val="en-US"/>
        </w:rPr>
        <w:t>i i pojmovni sklopovi u ovom obrascu koji imaju rodno zna</w:t>
      </w:r>
      <w:r>
        <w:rPr>
          <w:rFonts w:ascii="Merriweather Regular" w:hAnsi="Merriweather Regular" w:hint="default"/>
          <w:sz w:val="15"/>
          <w:szCs w:val="15"/>
          <w:rtl w:val="0"/>
          <w:lang w:val="en-US"/>
        </w:rPr>
        <w:t>č</w:t>
      </w:r>
      <w:r>
        <w:rPr>
          <w:rFonts w:ascii="Merriweather Regular" w:hAnsi="Merriweather Regular"/>
          <w:sz w:val="15"/>
          <w:szCs w:val="15"/>
          <w:rtl w:val="0"/>
          <w:lang w:val="en-US"/>
        </w:rPr>
        <w:t>enje odnose se na jednak na</w:t>
      </w:r>
      <w:r>
        <w:rPr>
          <w:rFonts w:ascii="Merriweather Regular" w:hAnsi="Merriweather Regular" w:hint="default"/>
          <w:sz w:val="15"/>
          <w:szCs w:val="15"/>
          <w:rtl w:val="0"/>
          <w:lang w:val="en-US"/>
        </w:rPr>
        <w:t>č</w:t>
      </w:r>
      <w:r>
        <w:rPr>
          <w:rFonts w:ascii="Merriweather Regular" w:hAnsi="Merriweather Regular"/>
          <w:sz w:val="15"/>
          <w:szCs w:val="15"/>
          <w:rtl w:val="0"/>
          <w:lang w:val="en-US"/>
        </w:rPr>
        <w:t>in na mu</w:t>
      </w:r>
      <w:r>
        <w:rPr>
          <w:rFonts w:ascii="Merriweather Regular" w:hAnsi="Merriweather Regular" w:hint="default"/>
          <w:sz w:val="15"/>
          <w:szCs w:val="15"/>
          <w:rtl w:val="0"/>
          <w:lang w:val="en-US"/>
        </w:rPr>
        <w:t>š</w:t>
      </w:r>
      <w:r>
        <w:rPr>
          <w:rFonts w:ascii="Merriweather Regular" w:hAnsi="Merriweather Regular"/>
          <w:sz w:val="15"/>
          <w:szCs w:val="15"/>
          <w:rtl w:val="0"/>
          <w:lang w:val="en-US"/>
        </w:rPr>
        <w:t xml:space="preserve">ki i </w:t>
      </w:r>
      <w:r>
        <w:rPr>
          <w:rFonts w:ascii="Merriweather Regular" w:hAnsi="Merriweather Regular" w:hint="default"/>
          <w:sz w:val="15"/>
          <w:szCs w:val="15"/>
          <w:rtl w:val="0"/>
          <w:lang w:val="en-US"/>
        </w:rPr>
        <w:t>ž</w:t>
      </w:r>
      <w:r>
        <w:rPr>
          <w:rFonts w:ascii="Merriweather Regular" w:hAnsi="Merriweather Regular"/>
          <w:sz w:val="15"/>
          <w:szCs w:val="15"/>
          <w:rtl w:val="0"/>
          <w:lang w:val="en-US"/>
        </w:rPr>
        <w:t>enski rod.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slov 2 A"/>
      <w:tabs>
        <w:tab w:val="left" w:pos="1418"/>
      </w:tabs>
      <w:spacing w:before="0" w:after="0"/>
      <w:ind w:left="1560" w:firstLine="0"/>
      <w:rPr>
        <w:rFonts w:ascii="Merriweather Bold" w:hAnsi="Merriweather Bold"/>
        <w:b w:val="0"/>
        <w:bCs w:val="0"/>
        <w:sz w:val="18"/>
        <w:szCs w:val="18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ijelo A"/>
                          </w:pPr>
                          <w:r>
                            <w:rPr>
                              <w:rStyle w:val="Bez A"/>
                            </w:rPr>
                            <w:drawing xmlns:a="http://schemas.openxmlformats.org/drawingml/2006/main">
                              <wp:inline distT="0" distB="0" distL="0" distR="0">
                                <wp:extent cx="724206" cy="782769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206" cy="7827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5pt;margin-top:14.3pt;width:91.6pt;height:7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ijelo A"/>
                    </w:pPr>
                    <w:r>
                      <w:rPr>
                        <w:rStyle w:val="Bez A"/>
                      </w:rPr>
                      <w:drawing xmlns:a="http://schemas.openxmlformats.org/drawingml/2006/main">
                        <wp:inline distT="0" distB="0" distL="0" distR="0">
                          <wp:extent cx="724206" cy="782769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206" cy="7827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>
    <w:pPr>
      <w:pStyle w:val="Tijelo A"/>
      <w:pBdr>
        <w:top w:val="nil"/>
        <w:left w:val="nil"/>
        <w:bottom w:val="single" w:color="000000" w:sz="4" w:space="0" w:shadow="0" w:frame="0"/>
        <w:right w:val="nil"/>
      </w:pBdr>
      <w:tabs>
        <w:tab w:val="left" w:pos="1418"/>
      </w:tabs>
      <w:spacing w:before="0" w:after="0"/>
      <w:ind w:left="1560" w:firstLine="0"/>
      <w:jc w:val="right"/>
    </w:pPr>
    <w:r>
      <w:rPr>
        <w:rFonts w:ascii="Merriweather Regular" w:hAnsi="Merriweather Regular"/>
        <w:sz w:val="18"/>
        <w:szCs w:val="18"/>
        <w:rtl w:val="0"/>
        <w:lang w:val="en-US"/>
      </w:rPr>
      <w:t>Obrazac 1.3.2. Izvedbeni plan nastave (</w:t>
    </w:r>
    <w:r>
      <w:rPr>
        <w:rFonts w:ascii="Merriweather Light" w:hAnsi="Merriweather Light"/>
        <w:i w:val="1"/>
        <w:iCs w:val="1"/>
        <w:sz w:val="18"/>
        <w:szCs w:val="18"/>
        <w:rtl w:val="0"/>
        <w:lang w:val="en-US"/>
      </w:rPr>
      <w:t>syllabus</w:t>
    </w:r>
    <w:r>
      <w:rPr>
        <w:rFonts w:ascii="Merriweather Regular" w:hAnsi="Merriweather Regular"/>
        <w:sz w:val="18"/>
        <w:szCs w:val="18"/>
        <w:rtl w:val="0"/>
        <w:lang w:val="en-US"/>
      </w:rPr>
      <w:t>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218"/>
        </w:tabs>
        <w:ind w:left="1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218"/>
        </w:tabs>
        <w:ind w:left="706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218"/>
        </w:tabs>
        <w:ind w:left="13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218"/>
        </w:tabs>
        <w:ind w:left="19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218"/>
        </w:tabs>
        <w:ind w:left="25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18"/>
        </w:tabs>
        <w:ind w:left="31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18"/>
        </w:tabs>
        <w:ind w:left="37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18"/>
        </w:tabs>
        <w:ind w:left="43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18"/>
        </w:tabs>
        <w:ind w:left="49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218"/>
        </w:tabs>
        <w:ind w:left="1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218"/>
        </w:tabs>
        <w:ind w:left="706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218"/>
        </w:tabs>
        <w:ind w:left="13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218"/>
        </w:tabs>
        <w:ind w:left="19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218"/>
        </w:tabs>
        <w:ind w:left="25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18"/>
        </w:tabs>
        <w:ind w:left="31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18"/>
        </w:tabs>
        <w:ind w:left="37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18"/>
        </w:tabs>
        <w:ind w:left="43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18"/>
        </w:tabs>
        <w:ind w:left="49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218"/>
        </w:tabs>
        <w:ind w:left="1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218"/>
        </w:tabs>
        <w:ind w:left="706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218"/>
        </w:tabs>
        <w:ind w:left="13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218"/>
        </w:tabs>
        <w:ind w:left="19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218"/>
        </w:tabs>
        <w:ind w:left="2507" w:hanging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18"/>
        </w:tabs>
        <w:ind w:left="31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18"/>
        </w:tabs>
        <w:ind w:left="37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18"/>
        </w:tabs>
        <w:ind w:left="43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18"/>
        </w:tabs>
        <w:ind w:left="4907" w:hanging="10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slov 2 A">
    <w:name w:val="Naslov 2 A"/>
    <w:next w:val="Naslov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jelo A">
    <w:name w:val="Tijelo A"/>
    <w:next w:val="Tij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ez A">
    <w:name w:val="Bez A"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erriweather Regular" w:cs="Merriweather Regular" w:hAnsi="Merriweather Regular" w:eastAsia="Merriweather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jelo A A">
    <w:name w:val="Tijelo A A"/>
    <w:next w:val="Tijel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ez">
    <w:name w:val="Bez"/>
  </w:style>
  <w:style w:type="character" w:styleId="Hyperlink.0">
    <w:name w:val="Hyperlink.0"/>
    <w:basedOn w:val="Bez"/>
    <w:next w:val="Hyperlink.0"/>
    <w:rPr>
      <w:rFonts w:ascii="Merriweather Regular" w:cs="Merriweather Regular" w:hAnsi="Merriweather Regular" w:eastAsia="Merriweather Regular"/>
      <w:outline w:val="0"/>
      <w:color w:val="0000ff"/>
      <w:sz w:val="18"/>
      <w:szCs w:val="18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ez"/>
    <w:next w:val="Hyperlink.1"/>
    <w:rPr>
      <w:rFonts w:ascii="Merriweather Regular" w:cs="Merriweather Regular" w:hAnsi="Merriweather Regular" w:eastAsia="Merriweather Regular"/>
      <w:i w:val="1"/>
      <w:iCs w:val="1"/>
      <w:u w:val="single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erriweather Bold"/>
        <a:ea typeface="Merriweather Bold"/>
        <a:cs typeface="Merriweather Bold"/>
      </a:majorFont>
      <a:minorFont>
        <a:latin typeface="Merriweather Regular"/>
        <a:ea typeface="Merriweather Regular"/>
        <a:cs typeface="Merriweather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