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E75381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D</w:t>
            </w:r>
            <w:r w:rsidR="00AE143E" w:rsidRPr="00E75381">
              <w:rPr>
                <w:rFonts w:ascii="Arial Narrow" w:hAnsi="Arial Narrow" w:cs="Arial"/>
                <w:noProof/>
              </w:rPr>
              <w:t>iplomski jedno</w:t>
            </w:r>
            <w:r w:rsidR="00206B24" w:rsidRPr="00E75381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E75381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64A2B" w:rsidRDefault="00664A2B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E15BF" w:rsidRPr="007D30F4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D30F4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 xml:space="preserve"> </w:t>
            </w:r>
            <w:r w:rsidR="00122971" w:rsidRPr="00E75381">
              <w:rPr>
                <w:rFonts w:ascii="Arial Narrow" w:hAnsi="Arial Narrow" w:cs="Arial"/>
              </w:rPr>
              <w:t>(PU</w:t>
            </w:r>
            <w:r w:rsidR="00EE4EEA" w:rsidRPr="00E75381">
              <w:rPr>
                <w:rFonts w:ascii="Arial Narrow" w:hAnsi="Arial Narrow" w:cs="Arial"/>
              </w:rPr>
              <w:t>J</w:t>
            </w:r>
            <w:r w:rsidR="007D0747">
              <w:rPr>
                <w:rFonts w:ascii="Arial Narrow" w:hAnsi="Arial Narrow" w:cs="Arial"/>
              </w:rPr>
              <w:t xml:space="preserve"> 301</w:t>
            </w:r>
            <w:r w:rsidR="00C12C00" w:rsidRPr="00E75381">
              <w:rPr>
                <w:rFonts w:ascii="Arial Narrow" w:hAnsi="Arial Narrow" w:cs="Arial"/>
              </w:rPr>
              <w:t xml:space="preserve"> )</w:t>
            </w:r>
          </w:p>
          <w:p w:rsidR="00664A2B" w:rsidRPr="00E75381" w:rsidRDefault="00664A2B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2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3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DA343C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Prof.dr.</w:t>
            </w:r>
            <w:r w:rsidR="00122971" w:rsidRPr="00E75381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E75381" w:rsidTr="00DA343C">
        <w:trPr>
          <w:trHeight w:val="361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DA343C" w:rsidP="00DA343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Doc.dr.sc.</w:t>
            </w:r>
            <w:r w:rsidR="00122971" w:rsidRPr="00E75381">
              <w:rPr>
                <w:rFonts w:ascii="Arial Narrow" w:hAnsi="Arial Narrow" w:cs="Calibri"/>
                <w:bCs/>
                <w:noProof/>
              </w:rPr>
              <w:t>Karla Lebhaft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Dvoran</w:t>
            </w:r>
            <w:r w:rsidR="00EE4EEA" w:rsidRPr="00E75381">
              <w:rPr>
                <w:rFonts w:ascii="Arial Narrow" w:hAnsi="Arial Narrow" w:cs="Arial"/>
              </w:rPr>
              <w:t>a</w:t>
            </w:r>
            <w:r w:rsidR="006948D7" w:rsidRPr="00E75381">
              <w:rPr>
                <w:rFonts w:ascii="Arial Narrow" w:hAnsi="Arial Narrow" w:cs="Arial"/>
              </w:rPr>
              <w:t xml:space="preserve"> 114 O</w:t>
            </w:r>
            <w:r w:rsidRPr="00E75381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E75381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29631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30</w:t>
            </w:r>
            <w:r w:rsidR="00122971" w:rsidRPr="00E75381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U</w:t>
            </w:r>
            <w:r w:rsidR="00122971" w:rsidRPr="00E75381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166EC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0D591C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02</w:t>
            </w:r>
            <w:r w:rsidR="00284FBC">
              <w:rPr>
                <w:rFonts w:ascii="Arial Narrow" w:hAnsi="Arial Narrow" w:cs="Calibri"/>
                <w:noProof/>
                <w:position w:val="1"/>
              </w:rPr>
              <w:t>.10.2019</w:t>
            </w:r>
            <w:bookmarkStart w:id="0" w:name="_GoBack"/>
            <w:bookmarkEnd w:id="0"/>
            <w:r w:rsidR="00391AF2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E75381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806CBD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24.01.2020</w:t>
            </w:r>
            <w:r w:rsidR="00391AF2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E75381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E75381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E75381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E75381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E75381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E75381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E7538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E75381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="Calibr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E75381">
              <w:rPr>
                <w:rFonts w:ascii="Arial Narrow" w:hAnsi="Arial Narrow" w:cs="Calibri"/>
                <w:noProof/>
              </w:rPr>
              <w:t xml:space="preserve">: </w:t>
            </w:r>
            <w:r w:rsidRPr="00E75381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E75381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E75381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UMJETNOST-NEUMJETNOST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E75381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Česte umjetničke teme kao povijesni modeli ovjeravanja umjetničkih teorija i praksi</w:t>
            </w:r>
            <w:r w:rsidRPr="00E75381">
              <w:rPr>
                <w:rFonts w:ascii="Arial Narrow" w:hAnsi="Arial Narrow" w:cstheme="minorHAnsi"/>
                <w:noProof/>
              </w:rPr>
              <w:t xml:space="preserve"> 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E75381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E75381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E75381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E75381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DE36D4" w:rsidP="00780A8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E75381">
              <w:rPr>
                <w:rFonts w:ascii="Arial Narrow" w:hAnsi="Arial Narrow"/>
                <w:b/>
                <w:noProof/>
              </w:rPr>
              <w:t>The Art of Art History: A Critical Anthology</w:t>
            </w:r>
            <w:r w:rsidRPr="00E75381">
              <w:rPr>
                <w:rFonts w:ascii="Arial Narrow" w:hAnsi="Arial Narrow"/>
                <w:noProof/>
              </w:rPr>
              <w:t xml:space="preserve">, Oxford University Press, </w:t>
            </w:r>
            <w:r w:rsidR="00780A83">
              <w:rPr>
                <w:rFonts w:ascii="Arial Narrow" w:hAnsi="Arial Narrow"/>
                <w:noProof/>
              </w:rPr>
              <w:t xml:space="preserve">Oxford, </w:t>
            </w:r>
            <w:r w:rsidRPr="00E75381">
              <w:rPr>
                <w:rFonts w:ascii="Arial Narrow" w:hAnsi="Arial Narrow"/>
                <w:noProof/>
              </w:rPr>
              <w:t xml:space="preserve">2009.; </w:t>
            </w:r>
            <w:r w:rsidRPr="00E75381">
              <w:rPr>
                <w:rFonts w:ascii="Arial Narrow" w:hAnsi="Arial Narrow"/>
                <w:bCs/>
                <w:noProof/>
              </w:rPr>
              <w:t>Miško Šuvaković</w:t>
            </w:r>
            <w:r w:rsidRPr="00E75381">
              <w:rPr>
                <w:rFonts w:ascii="Arial Narrow" w:hAnsi="Arial Narrow"/>
                <w:noProof/>
              </w:rPr>
              <w:t>,</w:t>
            </w:r>
            <w:r w:rsidR="00780A83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0A83" w:rsidRPr="00782416">
              <w:rPr>
                <w:rFonts w:ascii="Arial Narrow" w:hAnsi="Arial Narrow"/>
                <w:i/>
                <w:noProof/>
              </w:rPr>
              <w:t>Horetzky</w:t>
            </w:r>
            <w:r w:rsidR="00780A83">
              <w:rPr>
                <w:rFonts w:ascii="Arial Narrow" w:hAnsi="Arial Narrow"/>
                <w:noProof/>
              </w:rPr>
              <w:t>,</w:t>
            </w:r>
            <w:r w:rsidR="00780A83" w:rsidRPr="00F44A0A">
              <w:rPr>
                <w:rFonts w:ascii="Arial Narrow" w:hAnsi="Arial Narrow"/>
                <w:noProof/>
              </w:rPr>
              <w:t xml:space="preserve"> </w:t>
            </w:r>
            <w:r w:rsidR="00780A83">
              <w:rPr>
                <w:rFonts w:ascii="Arial Narrow" w:hAnsi="Arial Narrow"/>
                <w:noProof/>
              </w:rPr>
              <w:t>Zagreb, 2005</w:t>
            </w:r>
            <w:r w:rsidRPr="00E75381">
              <w:rPr>
                <w:rFonts w:ascii="Arial Narrow" w:hAnsi="Arial Narrow"/>
                <w:noProof/>
              </w:rPr>
              <w:t xml:space="preserve">.; </w:t>
            </w:r>
            <w:r w:rsidRPr="00E75381">
              <w:rPr>
                <w:rFonts w:ascii="Arial Narrow" w:hAnsi="Arial Narrow"/>
                <w:bCs/>
                <w:noProof/>
              </w:rPr>
              <w:t>Abraham A. Moles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E75381">
              <w:rPr>
                <w:rFonts w:ascii="Arial Narrow" w:hAnsi="Arial Narrow"/>
                <w:noProof/>
              </w:rPr>
              <w:t>, Gradina, Niš</w:t>
            </w:r>
            <w:r w:rsidR="009A5082">
              <w:rPr>
                <w:rFonts w:ascii="Arial Narrow" w:hAnsi="Arial Narrow"/>
                <w:noProof/>
              </w:rPr>
              <w:t>, 1973</w:t>
            </w:r>
            <w:r w:rsidRPr="00E75381">
              <w:rPr>
                <w:rFonts w:ascii="Arial Narrow" w:hAnsi="Arial Narrow"/>
                <w:noProof/>
              </w:rPr>
              <w:t xml:space="preserve">; </w:t>
            </w:r>
            <w:r w:rsidRPr="00E75381">
              <w:rPr>
                <w:rFonts w:ascii="Arial Narrow" w:hAnsi="Arial Narrow"/>
                <w:bCs/>
                <w:noProof/>
              </w:rPr>
              <w:t xml:space="preserve">Otto Bihalji-Merin,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E75381">
              <w:rPr>
                <w:rFonts w:ascii="Arial Narrow" w:hAnsi="Arial Narrow"/>
                <w:noProof/>
              </w:rPr>
              <w:t xml:space="preserve">, Jugoslavija, Beograd, 1979.; Anne D'Alleva, </w:t>
            </w:r>
            <w:r w:rsidRPr="00E75381">
              <w:rPr>
                <w:rFonts w:ascii="Arial Narrow" w:hAnsi="Arial Narrow"/>
                <w:b/>
                <w:noProof/>
              </w:rPr>
              <w:t>Methods @ Theories of Art History</w:t>
            </w:r>
            <w:r w:rsidRPr="00E75381">
              <w:rPr>
                <w:rFonts w:ascii="Arial Narrow" w:hAnsi="Arial Narrow"/>
                <w:noProof/>
              </w:rPr>
              <w:t>, Laurence King Publishing,</w:t>
            </w:r>
            <w:r w:rsidR="009A5082">
              <w:rPr>
                <w:rFonts w:ascii="Arial Narrow" w:hAnsi="Arial Narrow"/>
                <w:noProof/>
              </w:rPr>
              <w:t xml:space="preserve"> London, </w:t>
            </w:r>
            <w:r w:rsidRPr="00E75381">
              <w:rPr>
                <w:rFonts w:ascii="Arial Narrow" w:hAnsi="Arial Narrow"/>
                <w:noProof/>
              </w:rPr>
              <w:t xml:space="preserve"> 2012.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DE36D4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L.Schneider Adams, </w:t>
            </w:r>
            <w:r w:rsidRPr="00E75381">
              <w:rPr>
                <w:rFonts w:ascii="Arial Narrow" w:hAnsi="Arial Narrow"/>
                <w:b/>
                <w:bCs/>
                <w:noProof/>
              </w:rPr>
              <w:t>The Methodologies of Art: An Introduction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E75381">
              <w:rPr>
                <w:rFonts w:ascii="Arial Narrow" w:hAnsi="Arial Narrow"/>
                <w:b/>
                <w:bCs/>
                <w:noProof/>
              </w:rPr>
              <w:t>Art History: A Critical Introduction to its Methods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Manchester University Press,; V. Hyde Minior, </w:t>
            </w:r>
            <w:r w:rsidRPr="00E75381">
              <w:rPr>
                <w:rFonts w:ascii="Arial Narrow" w:hAnsi="Arial Narrow"/>
                <w:b/>
                <w:bCs/>
                <w:noProof/>
              </w:rPr>
              <w:t>Art History's History</w:t>
            </w:r>
            <w:r w:rsidRPr="00E75381">
              <w:rPr>
                <w:rFonts w:ascii="Arial Narrow" w:hAnsi="Arial Narrow"/>
                <w:bCs/>
                <w:noProof/>
              </w:rPr>
              <w:t>, Pearson, 2000.; 2006.; G. Dorfles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</w:t>
            </w:r>
            <w:r w:rsidRPr="00E75381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E75381">
              <w:rPr>
                <w:rFonts w:ascii="Arial Narrow" w:hAnsi="Arial Narrow"/>
                <w:bCs/>
                <w:noProof/>
              </w:rPr>
              <w:t>V. Horvat Pintarič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E75381">
              <w:rPr>
                <w:rFonts w:ascii="Arial Narrow" w:hAnsi="Arial Narrow"/>
                <w:noProof/>
              </w:rPr>
              <w:t xml:space="preserve">, CDD, Zagreb, 1979.; </w:t>
            </w:r>
            <w:r w:rsidRPr="00E75381">
              <w:rPr>
                <w:rFonts w:ascii="Arial Narrow" w:hAnsi="Arial Narrow"/>
                <w:bCs/>
                <w:noProof/>
              </w:rPr>
              <w:t>H. Wölfflin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1998.; </w:t>
            </w:r>
            <w:r w:rsidRPr="00E75381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E75381">
              <w:rPr>
                <w:rFonts w:ascii="Arial Narrow" w:hAnsi="Arial Narrow"/>
                <w:noProof/>
              </w:rPr>
              <w:t xml:space="preserve">, Institut za povijest umjetnosti, Zagreb, 1995.; R. Williams, </w:t>
            </w:r>
            <w:r w:rsidRPr="00E75381">
              <w:rPr>
                <w:rFonts w:ascii="Arial Narrow" w:hAnsi="Arial Narrow"/>
                <w:b/>
                <w:i/>
                <w:noProof/>
              </w:rPr>
              <w:t xml:space="preserve">Art in Theory: </w:t>
            </w:r>
            <w:r w:rsidRPr="00E75381">
              <w:rPr>
                <w:rFonts w:ascii="Arial Narrow" w:hAnsi="Arial Narrow"/>
                <w:noProof/>
              </w:rPr>
              <w:t xml:space="preserve">An Historical Introduction, Wiley-Blackwell, Oxford, 2004.;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1648-1815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2001.;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Theory, 1815-1900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1998.; C. Harrison, P. Wood,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1900-2000</w:t>
            </w:r>
            <w:r w:rsidRPr="00E75381">
              <w:rPr>
                <w:rFonts w:ascii="Arial Narrow" w:hAnsi="Arial Narrow"/>
                <w:noProof/>
              </w:rPr>
              <w:t>, Wiley-Blackwell, Oxford, 2002.</w:t>
            </w:r>
            <w:r w:rsidR="00461CD5">
              <w:rPr>
                <w:rFonts w:ascii="Arial Narrow" w:hAnsi="Arial Narrow"/>
                <w:noProof/>
              </w:rPr>
              <w:t xml:space="preserve">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461CD5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461CD5">
              <w:rPr>
                <w:rFonts w:ascii="Arial Narrow" w:hAnsi="Arial Narrow" w:cs="Calibri"/>
                <w:noProof/>
              </w:rPr>
              <w:t>, Art magazin Kontura, Zagreb, 2017.</w:t>
            </w:r>
            <w:r w:rsidR="001D3367">
              <w:rPr>
                <w:rFonts w:ascii="Arial Narrow" w:hAnsi="Arial Narrow" w:cs="Calibri"/>
                <w:noProof/>
              </w:rPr>
              <w:t xml:space="preserve">; </w:t>
            </w:r>
            <w:r w:rsidR="001D3367">
              <w:rPr>
                <w:rFonts w:ascii="Arial Narrow" w:hAnsi="Arial Narrow" w:cs="Arial"/>
                <w:noProof/>
              </w:rPr>
              <w:t xml:space="preserve">Howard S. Becker, </w:t>
            </w:r>
            <w:r w:rsidR="001D3367" w:rsidRPr="001D3367">
              <w:rPr>
                <w:rFonts w:ascii="Arial Narrow" w:hAnsi="Arial Narrow" w:cs="Arial"/>
                <w:b/>
                <w:noProof/>
              </w:rPr>
              <w:t>Svjetovi umjetnosti</w:t>
            </w:r>
            <w:r w:rsidR="001D3367">
              <w:rPr>
                <w:rFonts w:ascii="Arial Narrow" w:hAnsi="Arial Narrow" w:cs="Arial"/>
                <w:noProof/>
              </w:rPr>
              <w:t xml:space="preserve">, Naklada Jesenski i Turk, Zagreb, 2009.; Yves Michaud, </w:t>
            </w:r>
            <w:r w:rsidR="001D3367" w:rsidRPr="001D3367">
              <w:rPr>
                <w:rFonts w:ascii="Arial Narrow" w:hAnsi="Arial Narrow" w:cs="Arial"/>
                <w:b/>
                <w:noProof/>
              </w:rPr>
              <w:t>Umjetnost u plinovitom stanju, ogledi o trijumfu estetike</w:t>
            </w:r>
            <w:r w:rsidR="001D3367" w:rsidRPr="00A115E9">
              <w:rPr>
                <w:rFonts w:ascii="Arial Narrow" w:hAnsi="Arial Narrow" w:cs="Arial"/>
                <w:noProof/>
              </w:rPr>
              <w:t xml:space="preserve">, </w:t>
            </w:r>
            <w:r w:rsidR="001D3367">
              <w:rPr>
                <w:rFonts w:ascii="Arial Narrow" w:hAnsi="Arial Narrow" w:cs="Arial"/>
                <w:noProof/>
              </w:rPr>
              <w:t>Naklada Ljevak, Zagreb, 2004.</w:t>
            </w:r>
          </w:p>
        </w:tc>
      </w:tr>
      <w:tr w:rsidR="00C12C00" w:rsidRPr="00E75381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-</w:t>
            </w:r>
          </w:p>
        </w:tc>
      </w:tr>
      <w:tr w:rsidR="00C12C00" w:rsidRPr="00E75381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E75381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izraditi seminarski rad u pismenom obliku (najmanje 10 kartica teksta), te ga prezentirati u vidu usmenog izlaganja (45 minuta trajanja)</w:t>
            </w:r>
          </w:p>
        </w:tc>
      </w:tr>
      <w:tr w:rsidR="00C12C00" w:rsidRPr="00E75381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E75381">
              <w:rPr>
                <w:rFonts w:ascii="Arial Narrow" w:hAnsi="Arial Narrow" w:cs="Arial"/>
                <w:noProof/>
              </w:rPr>
              <w:t>2</w:t>
            </w:r>
            <w:r w:rsidRPr="00E75381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E75381">
              <w:rPr>
                <w:rFonts w:ascii="Arial Narrow" w:hAnsi="Arial Narrow" w:cs="Arial"/>
                <w:noProof/>
              </w:rPr>
              <w:t>1,5</w:t>
            </w:r>
            <w:r w:rsidRPr="00E75381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E75381">
              <w:rPr>
                <w:rFonts w:ascii="Arial Narrow" w:hAnsi="Arial Narrow" w:cs="Arial"/>
                <w:noProof/>
              </w:rPr>
              <w:t>3</w:t>
            </w:r>
            <w:r w:rsidRPr="00E75381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E75381">
              <w:rPr>
                <w:rFonts w:ascii="Arial Narrow" w:hAnsi="Arial Narrow" w:cs="Arial"/>
                <w:noProof/>
              </w:rPr>
              <w:t>3,5</w:t>
            </w:r>
            <w:r w:rsidRPr="00E75381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E75381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E75381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E75381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E75381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C415E9" w:rsidRPr="00E75381" w:rsidRDefault="00C415E9" w:rsidP="00C415E9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Uvod: </w:t>
            </w:r>
            <w:r>
              <w:rPr>
                <w:rFonts w:ascii="Arial Narrow" w:hAnsi="Arial Narrow" w:cstheme="minorHAnsi"/>
                <w:noProof/>
              </w:rPr>
              <w:t xml:space="preserve">o razumijevanju umjetnosti. </w:t>
            </w:r>
          </w:p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Određenje umjetnosti.</w:t>
            </w:r>
            <w:r w:rsidRPr="00BD74DB">
              <w:rPr>
                <w:rFonts w:ascii="Arial Narrow" w:hAnsi="Arial Narrow" w:cstheme="minorHAnsi"/>
                <w:noProof/>
              </w:rPr>
              <w:t xml:space="preserve"> </w:t>
            </w:r>
            <w:r w:rsidRPr="00BD74DB">
              <w:rPr>
                <w:rFonts w:ascii="Arial Narrow" w:hAnsi="Arial Narrow" w:cstheme="minorHAnsi"/>
                <w:i/>
                <w:noProof/>
              </w:rPr>
              <w:t>Povjesničar umjetnosti.</w:t>
            </w:r>
            <w:r w:rsidRPr="00BD74DB">
              <w:rPr>
                <w:rFonts w:ascii="Arial Narrow" w:hAnsi="Arial Narrow" w:cstheme="minorHAnsi"/>
                <w:noProof/>
              </w:rPr>
              <w:t xml:space="preserve"> </w:t>
            </w:r>
            <w:r w:rsidRPr="00BD74DB">
              <w:rPr>
                <w:rFonts w:ascii="Arial Narrow" w:hAnsi="Arial Narrow" w:cstheme="minorHAnsi"/>
                <w:i/>
                <w:noProof/>
              </w:rPr>
              <w:t>Kritika.</w:t>
            </w:r>
            <w:r w:rsidRPr="00BD74DB">
              <w:rPr>
                <w:rFonts w:ascii="Arial Narrow" w:hAnsi="Arial Narrow" w:cstheme="minorHAnsi"/>
                <w:noProof/>
              </w:rPr>
              <w:t xml:space="preserve"> </w:t>
            </w:r>
            <w:r w:rsidRPr="00BD74DB">
              <w:rPr>
                <w:rFonts w:ascii="Arial Narrow" w:hAnsi="Arial Narrow" w:cstheme="minorHAnsi"/>
                <w:i/>
                <w:noProof/>
              </w:rPr>
              <w:t>Teorija umjetnosti.</w:t>
            </w:r>
            <w:r w:rsidRPr="00BD74DB">
              <w:rPr>
                <w:rFonts w:ascii="Arial Narrow" w:hAnsi="Arial Narrow" w:cstheme="minorHAnsi"/>
                <w:noProof/>
              </w:rPr>
              <w:t xml:space="preserve"> </w:t>
            </w:r>
            <w:r w:rsidRPr="00BD74DB">
              <w:rPr>
                <w:rFonts w:ascii="Arial Narrow" w:hAnsi="Arial Narrow" w:cstheme="minorHAnsi"/>
                <w:i/>
                <w:noProof/>
              </w:rPr>
              <w:t>Antički svijet i umjetnost.</w:t>
            </w:r>
            <w:r w:rsidRPr="00BD74DB">
              <w:rPr>
                <w:rFonts w:ascii="Arial Narrow" w:hAnsi="Arial Narrow" w:cstheme="minorHAnsi"/>
                <w:noProof/>
              </w:rPr>
              <w:t xml:space="preserve"> </w:t>
            </w:r>
            <w:r w:rsidRPr="00BD74DB">
              <w:rPr>
                <w:rFonts w:ascii="Arial Narrow" w:hAnsi="Arial Narrow" w:cstheme="minorHAnsi"/>
                <w:i/>
                <w:noProof/>
              </w:rPr>
              <w:t>Srednji vijek i umjetnost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Novo poimanje umjetnosti u 14., 15. i 16. st.</w:t>
            </w:r>
            <w:r w:rsidRPr="00BD74DB">
              <w:rPr>
                <w:rFonts w:ascii="Arial Narrow" w:hAnsi="Arial Narrow" w:cstheme="minorHAnsi"/>
                <w:noProof/>
              </w:rPr>
              <w:t>:</w:t>
            </w:r>
            <w:r>
              <w:rPr>
                <w:rFonts w:ascii="Arial Narrow" w:hAnsi="Arial Narrow" w:cstheme="minorHAnsi"/>
                <w:noProof/>
              </w:rPr>
              <w:t xml:space="preserve"> Dante, Boccacio, Petrarca</w:t>
            </w:r>
          </w:p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L.B.</w:t>
            </w:r>
            <w:r w:rsidRPr="00BD74DB">
              <w:rPr>
                <w:rFonts w:ascii="Arial Narrow" w:hAnsi="Arial Narrow" w:cstheme="minorHAnsi"/>
                <w:noProof/>
              </w:rPr>
              <w:t xml:space="preserve">Alberti, </w:t>
            </w:r>
            <w:r>
              <w:rPr>
                <w:rFonts w:ascii="Arial Narrow" w:hAnsi="Arial Narrow" w:cstheme="minorHAnsi"/>
                <w:noProof/>
              </w:rPr>
              <w:t>L.</w:t>
            </w:r>
            <w:r w:rsidRPr="00BD74DB">
              <w:rPr>
                <w:rFonts w:ascii="Arial Narrow" w:hAnsi="Arial Narrow" w:cstheme="minorHAnsi"/>
                <w:noProof/>
              </w:rPr>
              <w:t xml:space="preserve">Ghiberti, Leonardo, Rafael, </w:t>
            </w:r>
            <w:r w:rsidR="00842ED2">
              <w:rPr>
                <w:rFonts w:ascii="Arial Narrow" w:hAnsi="Arial Narrow" w:cstheme="minorHAnsi"/>
                <w:noProof/>
              </w:rPr>
              <w:t xml:space="preserve">A. </w:t>
            </w:r>
            <w:r w:rsidRPr="00BD74DB">
              <w:rPr>
                <w:rFonts w:ascii="Arial Narrow" w:hAnsi="Arial Narrow" w:cstheme="minorHAnsi"/>
                <w:noProof/>
              </w:rPr>
              <w:t xml:space="preserve">Dürer, P. Aretino, B. Varchi, G. Vasari, K. van Mander, J. Sandrart, </w:t>
            </w:r>
            <w:r>
              <w:rPr>
                <w:rFonts w:ascii="Arial Narrow" w:hAnsi="Arial Narrow" w:cstheme="minorHAnsi"/>
                <w:noProof/>
              </w:rPr>
              <w:t xml:space="preserve">F. Pacheco, </w:t>
            </w:r>
            <w:r w:rsidRPr="00BD74DB">
              <w:rPr>
                <w:rFonts w:ascii="Arial Narrow" w:hAnsi="Arial Narrow" w:cstheme="minorHAnsi"/>
                <w:noProof/>
              </w:rPr>
              <w:t>A. Houbraken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Teorija umjetnosti romantizma</w:t>
            </w:r>
            <w:r w:rsidRPr="00BD74DB">
              <w:rPr>
                <w:rFonts w:ascii="Arial Narrow" w:hAnsi="Arial Narrow" w:cstheme="minorHAnsi"/>
                <w:noProof/>
              </w:rPr>
              <w:t xml:space="preserve">: </w:t>
            </w:r>
            <w:r w:rsidRPr="00BD74DB">
              <w:rPr>
                <w:rFonts w:ascii="Arial Narrow" w:hAnsi="Arial Narrow" w:cstheme="minorHAnsi"/>
                <w:i/>
                <w:noProof/>
              </w:rPr>
              <w:t>Sturm und Drang</w:t>
            </w:r>
            <w:r w:rsidRPr="00BD74DB">
              <w:rPr>
                <w:rFonts w:ascii="Arial Narrow" w:hAnsi="Arial Narrow" w:cstheme="minorHAnsi"/>
                <w:noProof/>
              </w:rPr>
              <w:t>, engleska situacija, francuski romantizam</w:t>
            </w:r>
            <w:r>
              <w:rPr>
                <w:rFonts w:ascii="Arial Narrow" w:hAnsi="Arial Narrow" w:cstheme="minorHAnsi"/>
                <w:noProof/>
              </w:rPr>
              <w:t>. J.J.Winckelmann, G.Morelli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John Ruskin</w:t>
            </w:r>
            <w:r w:rsidRPr="00BD74DB">
              <w:rPr>
                <w:rFonts w:ascii="Arial Narrow" w:hAnsi="Arial Narrow" w:cstheme="minorHAnsi"/>
                <w:noProof/>
              </w:rPr>
              <w:t>.</w:t>
            </w:r>
            <w:r w:rsidRPr="00BD74DB">
              <w:rPr>
                <w:rFonts w:ascii="Arial Narrow" w:hAnsi="Arial Narrow" w:cstheme="minorHAnsi"/>
                <w:i/>
                <w:noProof/>
              </w:rPr>
              <w:t xml:space="preserve"> Teorija umjetnosti realizma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Teorija umjetnosti impresionizma</w:t>
            </w:r>
            <w:r w:rsidRPr="00BD74DB">
              <w:rPr>
                <w:rFonts w:ascii="Arial Narrow" w:hAnsi="Arial Narrow" w:cstheme="minorHAnsi"/>
                <w:noProof/>
              </w:rPr>
              <w:t xml:space="preserve">, </w:t>
            </w:r>
            <w:r w:rsidRPr="00BD74DB">
              <w:rPr>
                <w:rFonts w:ascii="Arial Narrow" w:hAnsi="Arial Narrow" w:cstheme="minorHAnsi"/>
                <w:i/>
                <w:noProof/>
              </w:rPr>
              <w:t>ekspresionizma</w:t>
            </w:r>
            <w:r w:rsidRPr="00BD74DB">
              <w:rPr>
                <w:rFonts w:ascii="Arial Narrow" w:hAnsi="Arial Narrow" w:cstheme="minorHAnsi"/>
                <w:noProof/>
              </w:rPr>
              <w:t xml:space="preserve"> i </w:t>
            </w:r>
            <w:r w:rsidRPr="00BD74DB">
              <w:rPr>
                <w:rFonts w:ascii="Arial Narrow" w:hAnsi="Arial Narrow" w:cstheme="minorHAnsi"/>
                <w:i/>
                <w:noProof/>
              </w:rPr>
              <w:t>apstrakcije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F4C19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F4C19">
              <w:rPr>
                <w:rFonts w:ascii="Arial Narrow" w:hAnsi="Arial Narrow" w:cstheme="minorHAnsi"/>
                <w:noProof/>
              </w:rPr>
              <w:t>C.Fiedler, H.Wolfflin, B.Croce, E.H.Gombrich, H.Read, K.Clark, H.Sedlmayer</w:t>
            </w:r>
            <w:r>
              <w:rPr>
                <w:rFonts w:ascii="Arial Narrow" w:hAnsi="Arial Narrow" w:cstheme="minorHAnsi"/>
                <w:noProof/>
              </w:rPr>
              <w:t>, A.Springer, W.Pater, R</w:t>
            </w:r>
            <w:r w:rsidRPr="00EF4C19">
              <w:rPr>
                <w:rFonts w:ascii="Arial Narrow" w:hAnsi="Arial Narrow" w:cstheme="minorHAnsi"/>
                <w:noProof/>
              </w:rPr>
              <w:t>.Vischer, J.M.Graefe</w:t>
            </w:r>
            <w:r>
              <w:rPr>
                <w:rFonts w:ascii="Arial Narrow" w:hAnsi="Arial Narrow" w:cstheme="minorHAnsi"/>
                <w:noProof/>
              </w:rPr>
              <w:t>, A.Riegel, W.Woringer, F.Burger, R.Fry, C.Bell, H.Focillon, W.Pinder, H.Jantzen, W.Wöge, A.Warburg, E.Panofsky, E.H.Gombrich, M.Shapiro, H.Read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Teme u umjetnosti: </w:t>
            </w:r>
            <w:r w:rsidRPr="00BD74DB">
              <w:rPr>
                <w:rFonts w:ascii="Arial Narrow" w:hAnsi="Arial Narrow" w:cstheme="minorHAnsi"/>
                <w:noProof/>
              </w:rPr>
              <w:t>Postanak svijeta i božansko u umjetnosti</w:t>
            </w:r>
            <w:r w:rsidRPr="00BD74DB">
              <w:rPr>
                <w:rFonts w:ascii="Arial Narrow" w:hAnsi="Arial Narrow" w:cstheme="minorHAnsi"/>
                <w:i/>
                <w:noProof/>
              </w:rPr>
              <w:t>; Ruka i rad u likovnoj umjetnosti; Jedinka i mnoštvo u umjetnosti; Apokalipsa i rat u umjetnosti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Učestale teme u umjetničkom stvaranju: </w:t>
            </w:r>
            <w:r w:rsidRPr="00BD74DB">
              <w:rPr>
                <w:rFonts w:ascii="Arial Narrow" w:hAnsi="Arial Narrow" w:cstheme="minorHAnsi"/>
                <w:noProof/>
              </w:rPr>
              <w:t>ljubav i erotika; smrt i onostrano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Kič i umjetnost. Ukus malograđanina. Generiranje kiča: </w:t>
            </w:r>
            <w:r w:rsidRPr="00BD74DB">
              <w:rPr>
                <w:rFonts w:ascii="Arial Narrow" w:hAnsi="Arial Narrow" w:cstheme="minorHAnsi"/>
                <w:bCs/>
                <w:i/>
                <w:noProof/>
              </w:rPr>
              <w:t>o psihološkom odnosu čovjeka prema stvarima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bCs/>
                <w:i/>
                <w:noProof/>
              </w:rPr>
              <w:t>Kič i umjetnost s porukom. Povijesni razvoj kiča u građanskom društvu od kraja 19. i u 20. stoljeću. Povijesni primjer: kralj kiča Ludwig II. Bavarski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bCs/>
                <w:i/>
                <w:noProof/>
              </w:rPr>
              <w:t>Eksperimentalni ili camp-kič. Kič kao zatvoreni sustav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Kritika i kritičar. Osjećaj za kvalitetu </w:t>
            </w:r>
            <w:r w:rsidRPr="00BD74DB">
              <w:rPr>
                <w:rFonts w:ascii="Arial Narrow" w:hAnsi="Arial Narrow" w:cstheme="minorHAnsi"/>
                <w:noProof/>
              </w:rPr>
              <w:t>(impresionistički subjetkivizam kritike)</w:t>
            </w:r>
            <w:r w:rsidRPr="00BD74DB">
              <w:rPr>
                <w:rFonts w:ascii="Arial Narrow" w:hAnsi="Arial Narrow" w:cstheme="minorHAnsi"/>
                <w:i/>
                <w:noProof/>
              </w:rPr>
              <w:t xml:space="preserve"> i egzaktna vrjednosna procjena </w:t>
            </w:r>
            <w:r w:rsidRPr="00BD74DB">
              <w:rPr>
                <w:rFonts w:ascii="Arial Narrow" w:hAnsi="Arial Narrow" w:cstheme="minorHAnsi"/>
                <w:noProof/>
              </w:rPr>
              <w:t>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 xml:space="preserve">Kritika koja prati zbivanja u umjetnosti i tzv. kritika na djelu </w:t>
            </w:r>
            <w:r w:rsidRPr="00BD74DB">
              <w:rPr>
                <w:rFonts w:ascii="Arial Narrow" w:hAnsi="Arial Narrow" w:cstheme="minorHAnsi"/>
                <w:noProof/>
              </w:rPr>
              <w:t>(kritičar kao suučesnik u umjetnosti)</w:t>
            </w:r>
            <w:r w:rsidRPr="00BD74DB">
              <w:rPr>
                <w:rFonts w:ascii="Arial Narrow" w:hAnsi="Arial Narrow" w:cstheme="minorHAnsi"/>
                <w:i/>
                <w:noProof/>
              </w:rPr>
              <w:t>. Kritičar kao umjetnik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BD74DB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BD74DB">
              <w:rPr>
                <w:rFonts w:ascii="Arial Narrow" w:hAnsi="Arial Narrow" w:cstheme="minorHAnsi"/>
                <w:i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>
              <w:rPr>
                <w:rFonts w:ascii="Arial Narrow" w:hAnsi="Arial Narrow" w:cs="Calibri"/>
                <w:noProof/>
                <w:position w:val="1"/>
              </w:rPr>
              <w:t>doc.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dr.sc. Karle Lebhaft samostalno se prorađuju izdvojene teme i seminarske cjeline iz teorije umjetnosti u opsegu za dvopredmetni studij. Za potrebe seminara moguća je i dopuna 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lastRenderedPageBreak/>
              <w:t>literature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rPr>
          <w:rFonts w:ascii="Arial Narrow" w:hAnsi="Arial Narrow"/>
          <w:noProof/>
        </w:rPr>
      </w:pPr>
    </w:p>
    <w:p w:rsidR="006948D7" w:rsidRPr="00E75381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E75381" w:rsidRDefault="006948D7">
      <w:pPr>
        <w:spacing w:after="0" w:line="240" w:lineRule="auto"/>
        <w:rPr>
          <w:rFonts w:ascii="Arial Narrow" w:hAnsi="Arial Narrow"/>
          <w:noProof/>
        </w:rPr>
      </w:pPr>
    </w:p>
    <w:sectPr w:rsidR="006948D7" w:rsidRPr="00E7538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E" w:rsidRDefault="009B5C5E" w:rsidP="00125163">
      <w:pPr>
        <w:spacing w:after="0" w:line="240" w:lineRule="auto"/>
      </w:pPr>
      <w:r>
        <w:separator/>
      </w:r>
    </w:p>
  </w:endnote>
  <w:endnote w:type="continuationSeparator" w:id="0">
    <w:p w:rsidR="009B5C5E" w:rsidRDefault="009B5C5E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E" w:rsidRDefault="009B5C5E" w:rsidP="00125163">
      <w:pPr>
        <w:spacing w:after="0" w:line="240" w:lineRule="auto"/>
      </w:pPr>
      <w:r>
        <w:separator/>
      </w:r>
    </w:p>
  </w:footnote>
  <w:footnote w:type="continuationSeparator" w:id="0">
    <w:p w:rsidR="009B5C5E" w:rsidRDefault="009B5C5E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93A28"/>
    <w:rsid w:val="000D591C"/>
    <w:rsid w:val="000E2330"/>
    <w:rsid w:val="000E791E"/>
    <w:rsid w:val="001112B5"/>
    <w:rsid w:val="00117489"/>
    <w:rsid w:val="00122971"/>
    <w:rsid w:val="00125034"/>
    <w:rsid w:val="00125163"/>
    <w:rsid w:val="0015010D"/>
    <w:rsid w:val="00166EC3"/>
    <w:rsid w:val="00170CEC"/>
    <w:rsid w:val="001A6F7A"/>
    <w:rsid w:val="001B1BC1"/>
    <w:rsid w:val="001D0C38"/>
    <w:rsid w:val="001D3367"/>
    <w:rsid w:val="00206B24"/>
    <w:rsid w:val="0020776C"/>
    <w:rsid w:val="0021039D"/>
    <w:rsid w:val="00226DF7"/>
    <w:rsid w:val="00245BA3"/>
    <w:rsid w:val="002653D0"/>
    <w:rsid w:val="00277E55"/>
    <w:rsid w:val="00284FBC"/>
    <w:rsid w:val="00296314"/>
    <w:rsid w:val="002B1701"/>
    <w:rsid w:val="002B5D71"/>
    <w:rsid w:val="002F422E"/>
    <w:rsid w:val="002F52E6"/>
    <w:rsid w:val="00303FB8"/>
    <w:rsid w:val="00333A3F"/>
    <w:rsid w:val="00344F69"/>
    <w:rsid w:val="00361BFA"/>
    <w:rsid w:val="00363193"/>
    <w:rsid w:val="003646A0"/>
    <w:rsid w:val="003843F8"/>
    <w:rsid w:val="00384F2C"/>
    <w:rsid w:val="00391AF2"/>
    <w:rsid w:val="003B0140"/>
    <w:rsid w:val="003C165E"/>
    <w:rsid w:val="00427876"/>
    <w:rsid w:val="00455C55"/>
    <w:rsid w:val="00461CD5"/>
    <w:rsid w:val="004723C5"/>
    <w:rsid w:val="00475D47"/>
    <w:rsid w:val="00476460"/>
    <w:rsid w:val="004902D7"/>
    <w:rsid w:val="00491BE4"/>
    <w:rsid w:val="004D3410"/>
    <w:rsid w:val="004D4C0D"/>
    <w:rsid w:val="004D6F8F"/>
    <w:rsid w:val="005144E6"/>
    <w:rsid w:val="0053034D"/>
    <w:rsid w:val="0053247B"/>
    <w:rsid w:val="00554EFD"/>
    <w:rsid w:val="005830C4"/>
    <w:rsid w:val="005A1859"/>
    <w:rsid w:val="005A2897"/>
    <w:rsid w:val="005C1BC6"/>
    <w:rsid w:val="005E09EB"/>
    <w:rsid w:val="005E1A96"/>
    <w:rsid w:val="006137AB"/>
    <w:rsid w:val="00615BDF"/>
    <w:rsid w:val="00637337"/>
    <w:rsid w:val="0064517F"/>
    <w:rsid w:val="00664A2B"/>
    <w:rsid w:val="006948D7"/>
    <w:rsid w:val="006B0F51"/>
    <w:rsid w:val="006D3BB3"/>
    <w:rsid w:val="006E6748"/>
    <w:rsid w:val="006F327C"/>
    <w:rsid w:val="00704079"/>
    <w:rsid w:val="00726F22"/>
    <w:rsid w:val="00765AE3"/>
    <w:rsid w:val="00770201"/>
    <w:rsid w:val="00770FCB"/>
    <w:rsid w:val="00780A83"/>
    <w:rsid w:val="00796D5A"/>
    <w:rsid w:val="007A573E"/>
    <w:rsid w:val="007B5AE6"/>
    <w:rsid w:val="007D0747"/>
    <w:rsid w:val="007D30F4"/>
    <w:rsid w:val="00806CBD"/>
    <w:rsid w:val="00815DC2"/>
    <w:rsid w:val="00842ED2"/>
    <w:rsid w:val="00873397"/>
    <w:rsid w:val="008768EC"/>
    <w:rsid w:val="008A4C37"/>
    <w:rsid w:val="008C5042"/>
    <w:rsid w:val="008E15BF"/>
    <w:rsid w:val="008F2399"/>
    <w:rsid w:val="00924011"/>
    <w:rsid w:val="00926089"/>
    <w:rsid w:val="00932B95"/>
    <w:rsid w:val="009346A2"/>
    <w:rsid w:val="0093546E"/>
    <w:rsid w:val="00944C43"/>
    <w:rsid w:val="009458BE"/>
    <w:rsid w:val="009616A4"/>
    <w:rsid w:val="00962D81"/>
    <w:rsid w:val="00990D63"/>
    <w:rsid w:val="009A18E1"/>
    <w:rsid w:val="009A5082"/>
    <w:rsid w:val="009B5A8F"/>
    <w:rsid w:val="009B5C5E"/>
    <w:rsid w:val="009F4C84"/>
    <w:rsid w:val="00A053A4"/>
    <w:rsid w:val="00A75195"/>
    <w:rsid w:val="00AB2DB7"/>
    <w:rsid w:val="00AC0945"/>
    <w:rsid w:val="00AC76E4"/>
    <w:rsid w:val="00AD04DA"/>
    <w:rsid w:val="00AE143E"/>
    <w:rsid w:val="00B17A1D"/>
    <w:rsid w:val="00B31374"/>
    <w:rsid w:val="00B3515D"/>
    <w:rsid w:val="00B36A20"/>
    <w:rsid w:val="00B5681A"/>
    <w:rsid w:val="00B909D7"/>
    <w:rsid w:val="00B91250"/>
    <w:rsid w:val="00BA5546"/>
    <w:rsid w:val="00BC2D99"/>
    <w:rsid w:val="00BC57B2"/>
    <w:rsid w:val="00C013F3"/>
    <w:rsid w:val="00C0735F"/>
    <w:rsid w:val="00C12C00"/>
    <w:rsid w:val="00C415E9"/>
    <w:rsid w:val="00C95467"/>
    <w:rsid w:val="00CC1D09"/>
    <w:rsid w:val="00CC3F4E"/>
    <w:rsid w:val="00CD3894"/>
    <w:rsid w:val="00CF55ED"/>
    <w:rsid w:val="00D3045F"/>
    <w:rsid w:val="00D40B92"/>
    <w:rsid w:val="00D607B5"/>
    <w:rsid w:val="00D609F8"/>
    <w:rsid w:val="00D75066"/>
    <w:rsid w:val="00D759A2"/>
    <w:rsid w:val="00D86263"/>
    <w:rsid w:val="00D874F1"/>
    <w:rsid w:val="00DA343C"/>
    <w:rsid w:val="00DE1291"/>
    <w:rsid w:val="00DE232C"/>
    <w:rsid w:val="00DE34F0"/>
    <w:rsid w:val="00DE36D4"/>
    <w:rsid w:val="00DF79F3"/>
    <w:rsid w:val="00E45842"/>
    <w:rsid w:val="00E500C9"/>
    <w:rsid w:val="00E75381"/>
    <w:rsid w:val="00EA4AE8"/>
    <w:rsid w:val="00EC1865"/>
    <w:rsid w:val="00EE07A4"/>
    <w:rsid w:val="00EE449C"/>
    <w:rsid w:val="00EE4EEA"/>
    <w:rsid w:val="00EF4C19"/>
    <w:rsid w:val="00F019B3"/>
    <w:rsid w:val="00F2168F"/>
    <w:rsid w:val="00F41613"/>
    <w:rsid w:val="00F53360"/>
    <w:rsid w:val="00F566F3"/>
    <w:rsid w:val="00F92202"/>
    <w:rsid w:val="00F961A2"/>
    <w:rsid w:val="00FA0211"/>
    <w:rsid w:val="00FB3919"/>
    <w:rsid w:val="00FC1127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063C7"/>
  <w15:docId w15:val="{80A9A824-A5EE-43AF-A959-DB951D2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65</cp:revision>
  <cp:lastPrinted>2013-09-18T11:28:00Z</cp:lastPrinted>
  <dcterms:created xsi:type="dcterms:W3CDTF">2016-09-30T11:05:00Z</dcterms:created>
  <dcterms:modified xsi:type="dcterms:W3CDTF">2019-09-06T10:10:00Z</dcterms:modified>
</cp:coreProperties>
</file>