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1561E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proofErr w:type="spellStart"/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proofErr w:type="spellEnd"/>
      <w:r w:rsidR="00F82834" w:rsidRPr="0017531F">
        <w:rPr>
          <w:rStyle w:val="Referencafusnot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02D58A59" w:rsidR="004B553E" w:rsidRPr="0017531F" w:rsidRDefault="003F61E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771DB596" w:rsidR="004B553E" w:rsidRPr="0017531F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11561E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11561E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3574431B" w:rsidR="004B553E" w:rsidRPr="0017531F" w:rsidRDefault="003F61E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t>Hrvatska književnost 19. stoljeća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160DF7DF" w:rsidR="004B553E" w:rsidRPr="0017531F" w:rsidRDefault="007D2273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6F3982DB" w:rsidR="004B553E" w:rsidRPr="0017531F" w:rsidRDefault="003F61E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1E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Preddiplomski </w:t>
            </w:r>
            <w:r w:rsidR="00152E3F">
              <w:rPr>
                <w:rFonts w:ascii="Merriweather" w:hAnsi="Merriweather" w:cs="Times New Roman"/>
                <w:b/>
                <w:sz w:val="18"/>
                <w:szCs w:val="18"/>
              </w:rPr>
              <w:t>jedno</w:t>
            </w:r>
            <w:r w:rsidRPr="003F61EA">
              <w:rPr>
                <w:rFonts w:ascii="Merriweather" w:hAnsi="Merriweather" w:cs="Times New Roman"/>
                <w:b/>
                <w:sz w:val="18"/>
                <w:szCs w:val="18"/>
              </w:rPr>
              <w:t>predmetni studij hrvatskoga jezika i književnosti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31311B0D" w:rsidR="004B553E" w:rsidRPr="0017531F" w:rsidRDefault="001156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1E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1156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1156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11561E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1156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25F4843F" w:rsidR="004B553E" w:rsidRPr="0017531F" w:rsidRDefault="001156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1E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1156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1156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1156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1156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3DC1E25C" w:rsidR="004B553E" w:rsidRPr="0017531F" w:rsidRDefault="0011561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1E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1156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1156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1156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0DBECD7D" w:rsidR="004B553E" w:rsidRPr="0017531F" w:rsidRDefault="001156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1E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1156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1156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23B7AB4B" w:rsidR="00393964" w:rsidRPr="0017531F" w:rsidRDefault="001156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1E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11561E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6526964B" w:rsidR="00393964" w:rsidRPr="0017531F" w:rsidRDefault="001156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27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1156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777777" w:rsidR="00393964" w:rsidRPr="0017531F" w:rsidRDefault="001156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3E7289E4" w:rsidR="00453362" w:rsidRPr="0017531F" w:rsidRDefault="003F61E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6C6DDAFC" w:rsidR="00453362" w:rsidRPr="0017531F" w:rsidRDefault="007D2273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5D806FA9" w:rsidR="00453362" w:rsidRPr="0017531F" w:rsidRDefault="001156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1E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76E4918E" w:rsidR="00453362" w:rsidRPr="0017531F" w:rsidRDefault="0011561E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proofErr w:type="spellStart"/>
            <w:r w:rsidRPr="0011561E">
              <w:rPr>
                <w:rFonts w:ascii="Merriweather" w:hAnsi="Merriweather" w:cs="Times New Roman"/>
                <w:sz w:val="16"/>
                <w:szCs w:val="16"/>
              </w:rPr>
              <w:t>Uč</w:t>
            </w:r>
            <w:proofErr w:type="spellEnd"/>
            <w:r w:rsidRPr="0011561E">
              <w:rPr>
                <w:rFonts w:ascii="Merriweather" w:hAnsi="Merriweather" w:cs="Times New Roman"/>
                <w:sz w:val="16"/>
                <w:szCs w:val="16"/>
              </w:rPr>
              <w:t>. 223, utorkom 13-14.30 predavanja, 14.45-16 seminari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068471F6" w:rsidR="00453362" w:rsidRPr="0017531F" w:rsidRDefault="008D76C6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355B311A" w:rsidR="00453362" w:rsidRPr="0017531F" w:rsidRDefault="008D76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519D1CB7" w:rsidR="00453362" w:rsidRPr="0017531F" w:rsidRDefault="008D76C6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D76C6"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13636E93" w:rsidR="00453362" w:rsidRPr="0017531F" w:rsidRDefault="008D76C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71DCF103" w:rsidR="00453362" w:rsidRPr="0017531F" w:rsidRDefault="008D76C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D76C6">
              <w:rPr>
                <w:rFonts w:ascii="Merriweather" w:hAnsi="Merriweather" w:cs="Times New Roman"/>
                <w:sz w:val="16"/>
                <w:szCs w:val="16"/>
              </w:rPr>
              <w:t>prof. dr. sc. Kornelija Kuvač-</w:t>
            </w:r>
            <w:proofErr w:type="spellStart"/>
            <w:r w:rsidRPr="008D76C6">
              <w:rPr>
                <w:rFonts w:ascii="Merriweather" w:hAnsi="Merriweather" w:cs="Times New Roman"/>
                <w:sz w:val="16"/>
                <w:szCs w:val="16"/>
              </w:rPr>
              <w:t>Levačić</w:t>
            </w:r>
            <w:proofErr w:type="spellEnd"/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412592F4" w:rsidR="00453362" w:rsidRPr="0017531F" w:rsidRDefault="008D76C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D76C6">
              <w:rPr>
                <w:rFonts w:ascii="Merriweather" w:hAnsi="Merriweather" w:cs="Times New Roman"/>
                <w:sz w:val="16"/>
                <w:szCs w:val="16"/>
              </w:rPr>
              <w:t>klevac@unizd.hr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2F8B2452" w:rsidR="00453362" w:rsidRPr="0017531F" w:rsidRDefault="008D76C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D76C6">
              <w:rPr>
                <w:rFonts w:ascii="Merriweather" w:hAnsi="Merriweather" w:cs="Times New Roman"/>
                <w:sz w:val="16"/>
                <w:szCs w:val="16"/>
              </w:rPr>
              <w:t>Nakon predavanja i seminara</w:t>
            </w: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12606F9C" w:rsidR="00453362" w:rsidRPr="0017531F" w:rsidRDefault="008D76C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-II-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5F807263" w:rsidR="00453362" w:rsidRPr="0017531F" w:rsidRDefault="008D76C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Ana Marin, mag.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edu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philol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croat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</w:rPr>
              <w:t xml:space="preserve">. </w:t>
            </w:r>
            <w:r w:rsidR="0011561E">
              <w:rPr>
                <w:rFonts w:ascii="Merriweather" w:hAnsi="Merriweather" w:cs="Times New Roman"/>
                <w:sz w:val="16"/>
                <w:szCs w:val="16"/>
              </w:rPr>
              <w:t xml:space="preserve"> – </w:t>
            </w:r>
            <w:proofErr w:type="spellStart"/>
            <w:r w:rsidR="0011561E">
              <w:rPr>
                <w:rFonts w:ascii="Merriweather" w:hAnsi="Merriweather" w:cs="Times New Roman"/>
                <w:sz w:val="16"/>
                <w:szCs w:val="16"/>
              </w:rPr>
              <w:t>rodiljni</w:t>
            </w:r>
            <w:proofErr w:type="spellEnd"/>
            <w:r w:rsidR="0011561E">
              <w:rPr>
                <w:rFonts w:ascii="Merriweather" w:hAnsi="Merriweather" w:cs="Times New Roman"/>
                <w:sz w:val="16"/>
                <w:szCs w:val="16"/>
              </w:rPr>
              <w:t xml:space="preserve"> dopust</w:t>
            </w: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4D3C580B" w:rsidR="00453362" w:rsidRPr="0017531F" w:rsidRDefault="008D76C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avulelija</w:t>
            </w:r>
            <w:r w:rsidRPr="008D76C6">
              <w:rPr>
                <w:rFonts w:ascii="Merriweather" w:hAnsi="Merriweather" w:cs="Times New Roman"/>
                <w:sz w:val="16"/>
                <w:szCs w:val="16"/>
              </w:rPr>
              <w:t>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72CEB9F1" w:rsidR="00453362" w:rsidRPr="0017531F" w:rsidRDefault="001156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6C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0E731C0A" w:rsidR="00453362" w:rsidRPr="0017531F" w:rsidRDefault="001156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6C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1156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1156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1156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5CE1A982" w:rsidR="00453362" w:rsidRPr="0017531F" w:rsidRDefault="001156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27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1156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1156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1156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1156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47949A38" w14:textId="77777777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>Nakon odslušanih predavanja, seminara i ispunjenih zadataka studenti će moći:</w:t>
            </w:r>
          </w:p>
          <w:p w14:paraId="2AED3AC0" w14:textId="77777777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 xml:space="preserve">- nabrojati i kronološki poredati stilske formacije u hrvatskoj </w:t>
            </w:r>
          </w:p>
          <w:p w14:paraId="69F39A82" w14:textId="7C073279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>književnosti 19. stoljeća</w:t>
            </w:r>
          </w:p>
          <w:p w14:paraId="417B675C" w14:textId="61374DD9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 xml:space="preserve">- imenovati najznačajnije hrvatske književnike 19. stoljeća i </w:t>
            </w:r>
          </w:p>
          <w:p w14:paraId="3639111C" w14:textId="77777777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>svrstati ih u pripadajuću stilsku formaciju</w:t>
            </w:r>
          </w:p>
          <w:p w14:paraId="46522D19" w14:textId="646A0D26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 xml:space="preserve">- prepoznati strukturalne elemente karakteristične za književni </w:t>
            </w:r>
          </w:p>
          <w:p w14:paraId="5998EE53" w14:textId="77777777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 xml:space="preserve">tekst pisan u romantizmu, </w:t>
            </w:r>
            <w:proofErr w:type="spellStart"/>
            <w:r w:rsidRPr="00C71AB2">
              <w:rPr>
                <w:rFonts w:ascii="Merriweather" w:hAnsi="Merriweather" w:cs="Times New Roman"/>
                <w:sz w:val="16"/>
                <w:szCs w:val="16"/>
              </w:rPr>
              <w:t>protorealizmu</w:t>
            </w:r>
            <w:proofErr w:type="spellEnd"/>
            <w:r w:rsidRPr="00C71AB2">
              <w:rPr>
                <w:rFonts w:ascii="Merriweather" w:hAnsi="Merriweather" w:cs="Times New Roman"/>
                <w:sz w:val="16"/>
                <w:szCs w:val="16"/>
              </w:rPr>
              <w:t xml:space="preserve">, realizmu ili modernizmu </w:t>
            </w:r>
          </w:p>
          <w:p w14:paraId="5AFBC29D" w14:textId="77777777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 xml:space="preserve">- objasniti društvene uzroke nastanka hrvatskog narodnog </w:t>
            </w:r>
          </w:p>
          <w:p w14:paraId="6A5F4B79" w14:textId="33E511E7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>preporoda, njegove književne i kulturološke temelje i utjecaj na razvoj hrvatske književnosti</w:t>
            </w:r>
          </w:p>
          <w:p w14:paraId="764FCF83" w14:textId="72EF2BE7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>- objasniti razliku pojmova hrvatska preporodna književnost i</w:t>
            </w:r>
            <w:r w:rsidRPr="00C71AB2">
              <w:t xml:space="preserve"> </w:t>
            </w:r>
            <w:r w:rsidRPr="00C71AB2">
              <w:rPr>
                <w:rFonts w:ascii="Merriweather" w:hAnsi="Merriweather" w:cs="Times New Roman"/>
                <w:sz w:val="16"/>
                <w:szCs w:val="16"/>
              </w:rPr>
              <w:t>književnost romantizma</w:t>
            </w:r>
          </w:p>
          <w:p w14:paraId="6ED8C9DA" w14:textId="7117AE7E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 xml:space="preserve">- interpretirati tekstove hrvatskih književnika 19. stoljeća s </w:t>
            </w:r>
          </w:p>
          <w:p w14:paraId="497CFB2B" w14:textId="696FC0F0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 xml:space="preserve">obzirom na pojedinačne stilske, sadržajne i ideološke osobitosti kao i osobitosti </w:t>
            </w:r>
            <w:r w:rsidR="00C71AB2" w:rsidRPr="00C71AB2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hAnsi="Merriweather" w:cs="Times New Roman"/>
                <w:sz w:val="16"/>
                <w:szCs w:val="16"/>
              </w:rPr>
              <w:t xml:space="preserve">razdoblja </w:t>
            </w:r>
          </w:p>
          <w:p w14:paraId="5ABC87B9" w14:textId="46477474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>- usporediti razvoj hrvatske knji</w:t>
            </w:r>
            <w:r w:rsidR="00C71AB2" w:rsidRPr="00C71AB2">
              <w:rPr>
                <w:rFonts w:ascii="Merriweather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hAnsi="Merriweather" w:cs="Times New Roman"/>
                <w:sz w:val="16"/>
                <w:szCs w:val="16"/>
              </w:rPr>
              <w:t xml:space="preserve">evnosti 19. stoljeća s razvojem </w:t>
            </w:r>
          </w:p>
          <w:p w14:paraId="0DAF9BA7" w14:textId="6D2C6C2A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>europskih knji</w:t>
            </w:r>
            <w:r w:rsidR="00C71AB2" w:rsidRPr="00C71AB2">
              <w:rPr>
                <w:rFonts w:ascii="Merriweather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hAnsi="Merriweather" w:cs="Times New Roman"/>
                <w:sz w:val="16"/>
                <w:szCs w:val="16"/>
              </w:rPr>
              <w:t xml:space="preserve">evnosti </w:t>
            </w:r>
          </w:p>
          <w:p w14:paraId="24F3082C" w14:textId="3B140E27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>- kriti</w:t>
            </w:r>
            <w:r w:rsidR="00C71AB2" w:rsidRPr="00C71AB2">
              <w:rPr>
                <w:rFonts w:ascii="Merriweather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hAnsi="Merriweather" w:cs="Times New Roman"/>
                <w:sz w:val="16"/>
                <w:szCs w:val="16"/>
              </w:rPr>
              <w:t>ki se osvrnuti na knji</w:t>
            </w:r>
            <w:r w:rsidR="00C71AB2" w:rsidRPr="00C71AB2">
              <w:rPr>
                <w:rFonts w:ascii="Merriweather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hAnsi="Merriweather" w:cs="Times New Roman"/>
                <w:sz w:val="16"/>
                <w:szCs w:val="16"/>
              </w:rPr>
              <w:t xml:space="preserve">evnopovijesni narativ o hrvatskoj </w:t>
            </w:r>
          </w:p>
          <w:p w14:paraId="1A8D43CC" w14:textId="5692F1DA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>knji</w:t>
            </w:r>
            <w:r w:rsidR="00C71AB2" w:rsidRPr="00C71AB2">
              <w:rPr>
                <w:rFonts w:ascii="Merriweather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hAnsi="Merriweather" w:cs="Times New Roman"/>
                <w:sz w:val="16"/>
                <w:szCs w:val="16"/>
              </w:rPr>
              <w:t>evnosti 19. st.</w:t>
            </w:r>
          </w:p>
          <w:p w14:paraId="13E2A08B" w14:textId="133C34A6" w:rsidR="00310F9A" w:rsidRPr="0017531F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lastRenderedPageBreak/>
              <w:t>- napisati stru</w:t>
            </w:r>
            <w:r w:rsidR="00C71AB2" w:rsidRPr="00C71AB2">
              <w:rPr>
                <w:rFonts w:ascii="Merriweather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hAnsi="Merriweather" w:cs="Times New Roman"/>
                <w:sz w:val="16"/>
                <w:szCs w:val="16"/>
              </w:rPr>
              <w:t>ni rad iz podru</w:t>
            </w:r>
            <w:r w:rsidR="00C71AB2" w:rsidRPr="00C71AB2">
              <w:rPr>
                <w:rFonts w:ascii="Merriweather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hAnsi="Merriweather" w:cs="Times New Roman"/>
                <w:sz w:val="16"/>
                <w:szCs w:val="16"/>
              </w:rPr>
              <w:t>ja koje obuhvaća sadr</w:t>
            </w:r>
            <w:r w:rsidR="00C71AB2" w:rsidRPr="00C71AB2">
              <w:rPr>
                <w:rFonts w:ascii="Merriweather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hAnsi="Merriweather" w:cs="Times New Roman"/>
                <w:sz w:val="16"/>
                <w:szCs w:val="16"/>
              </w:rPr>
              <w:t>aj kolegij</w:t>
            </w:r>
            <w:r w:rsidR="00C71AB2" w:rsidRPr="00C71AB2">
              <w:rPr>
                <w:rFonts w:ascii="Merriweather" w:hAnsi="Merriweather" w:cs="Times New Roman"/>
                <w:sz w:val="16"/>
                <w:szCs w:val="16"/>
              </w:rPr>
              <w:t>a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4C254923" w14:textId="0552F6EB" w:rsidR="00847D00" w:rsidRPr="00847D00" w:rsidRDefault="00847D00" w:rsidP="00847D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47D00">
              <w:rPr>
                <w:rFonts w:ascii="Merriweather" w:hAnsi="Merriweather" w:cs="Times New Roman"/>
                <w:sz w:val="16"/>
                <w:szCs w:val="16"/>
              </w:rPr>
              <w:t xml:space="preserve">Razvoj viših stupnjeva kompetencije </w:t>
            </w:r>
            <w:proofErr w:type="spellStart"/>
            <w:r w:rsidRPr="00847D00">
              <w:rPr>
                <w:rFonts w:ascii="Merriweather" w:hAnsi="Merriweather" w:cs="Times New Roman"/>
                <w:sz w:val="16"/>
                <w:szCs w:val="16"/>
              </w:rPr>
              <w:t>literarnoestetskoga</w:t>
            </w:r>
            <w:proofErr w:type="spellEnd"/>
            <w:r w:rsidRPr="00847D0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</w:rPr>
              <w:t>č</w:t>
            </w:r>
            <w:r w:rsidRPr="00847D00">
              <w:rPr>
                <w:rFonts w:ascii="Merriweather" w:hAnsi="Merriweather" w:cs="Times New Roman"/>
                <w:sz w:val="16"/>
                <w:szCs w:val="16"/>
              </w:rPr>
              <w:t>itanja tekstova</w:t>
            </w:r>
          </w:p>
          <w:p w14:paraId="4D73B455" w14:textId="1B2F7D18" w:rsidR="00847D00" w:rsidRPr="00847D00" w:rsidRDefault="00847D00" w:rsidP="00847D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47D00">
              <w:rPr>
                <w:rFonts w:ascii="Merriweather" w:hAnsi="Merriweather" w:cs="Times New Roman"/>
                <w:sz w:val="16"/>
                <w:szCs w:val="16"/>
              </w:rPr>
              <w:t>hrvatske knji</w:t>
            </w:r>
            <w:r>
              <w:rPr>
                <w:rFonts w:ascii="Merriweather" w:hAnsi="Merriweather" w:cs="Times New Roman"/>
                <w:sz w:val="16"/>
                <w:szCs w:val="16"/>
              </w:rPr>
              <w:t>ž</w:t>
            </w:r>
            <w:r w:rsidRPr="00847D00">
              <w:rPr>
                <w:rFonts w:ascii="Merriweather" w:hAnsi="Merriweather" w:cs="Times New Roman"/>
                <w:sz w:val="16"/>
                <w:szCs w:val="16"/>
              </w:rPr>
              <w:t>evnosti 19. stoljeća.</w:t>
            </w:r>
          </w:p>
          <w:p w14:paraId="12CA2F78" w14:textId="10491C0D" w:rsidR="00310F9A" w:rsidRPr="0017531F" w:rsidRDefault="00847D00" w:rsidP="00847D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847D00">
              <w:rPr>
                <w:rFonts w:ascii="Merriweather" w:hAnsi="Merriweather" w:cs="Times New Roman"/>
                <w:sz w:val="16"/>
                <w:szCs w:val="16"/>
              </w:rPr>
              <w:t>Aktualizacija i suvremen pristup hrvatskoj knji</w:t>
            </w:r>
            <w:r>
              <w:rPr>
                <w:rFonts w:ascii="Merriweather" w:hAnsi="Merriweather" w:cs="Times New Roman"/>
                <w:sz w:val="16"/>
                <w:szCs w:val="16"/>
              </w:rPr>
              <w:t>ž</w:t>
            </w:r>
            <w:r w:rsidRPr="00847D00">
              <w:rPr>
                <w:rFonts w:ascii="Merriweather" w:hAnsi="Merriweather" w:cs="Times New Roman"/>
                <w:sz w:val="16"/>
                <w:szCs w:val="16"/>
              </w:rPr>
              <w:t>evnoj baštini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334CB07B" w:rsidR="00FC2198" w:rsidRPr="0017531F" w:rsidRDefault="001156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B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FC2198" w:rsidRPr="0017531F" w:rsidRDefault="001156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4CBF1C19" w:rsidR="00FC2198" w:rsidRPr="0017531F" w:rsidRDefault="001156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B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1156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1156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1156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1156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6BAE7E04" w:rsidR="00FC2198" w:rsidRPr="0017531F" w:rsidRDefault="001156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D0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1156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6530185D" w:rsidR="00FC2198" w:rsidRPr="0017531F" w:rsidRDefault="001156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27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2DE4A2DD" w:rsidR="00FC2198" w:rsidRPr="0017531F" w:rsidRDefault="001156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B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FF40452" w:rsidR="00FC2198" w:rsidRPr="0017531F" w:rsidRDefault="001156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B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4AFD8AE3" w:rsidR="00FC2198" w:rsidRPr="0017531F" w:rsidRDefault="001156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B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31388930" w:rsidR="00FC2198" w:rsidRPr="0017531F" w:rsidRDefault="001156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B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  <w:r w:rsidR="00C71AB2">
              <w:rPr>
                <w:rFonts w:ascii="Merriweather" w:hAnsi="Merriweather" w:cs="Times New Roman"/>
                <w:sz w:val="16"/>
                <w:szCs w:val="16"/>
              </w:rPr>
              <w:t xml:space="preserve"> oba položena kolokvija (iznad 50%) zamjenjuju pismeni ispit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42D023B1" w14:textId="454D4F1C" w:rsidR="00FC2198" w:rsidRDefault="00C71AB2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Nazočnost na predavanjima i seminarima min. 70%, rezultat u Merlinu (rješavanje domaćih zadaća) min. 50%,  oba kolokvija riješena s minimalno 20% točnih odgovora.  </w:t>
            </w:r>
            <w:r w:rsidR="00847D0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Izložen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seminarski rad</w:t>
            </w:r>
            <w:r w:rsidR="007D2273">
              <w:rPr>
                <w:rFonts w:ascii="Merriweather" w:eastAsia="MS Gothic" w:hAnsi="Merriweather" w:cs="Times New Roman"/>
                <w:sz w:val="16"/>
                <w:szCs w:val="16"/>
              </w:rPr>
              <w:t>. Zadnja verzija rada treba biti predana 15 dana nakon izlaganja, a najkasnije tjedan dana prije završetka nastave (uz opravdani razlog kašnjenja koji treba na vrijeme reći nositelju kolegija i suradnici na nastavi seminara).</w:t>
            </w:r>
          </w:p>
          <w:p w14:paraId="0D2CFA0D" w14:textId="77777777" w:rsidR="00847D00" w:rsidRPr="00847D00" w:rsidRDefault="00847D00" w:rsidP="00847D0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54DEE6BC" w14:textId="6F4C8A3C" w:rsidR="00847D00" w:rsidRDefault="00847D00" w:rsidP="00847D0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NEOPRAVDANO </w:t>
            </w:r>
            <w:r w:rsidRPr="00847D00">
              <w:rPr>
                <w:rFonts w:ascii="Merriweather" w:eastAsia="MS Gothic" w:hAnsi="Merriweather" w:cs="Times New Roman"/>
                <w:sz w:val="16"/>
                <w:szCs w:val="16"/>
              </w:rPr>
              <w:t>NEIZVRŠENI ZADATCI NEĆE SE ZAMJENJIVATI DAVANJEM DODATNOG SEMINARSKOG RADA NEGO ĆE STUDENT TREBATI PONOVNO SLUŠATI KOLEGIJ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61A5A804" w14:textId="5D50B85F" w:rsidR="00847D00" w:rsidRPr="00C71AB2" w:rsidRDefault="00847D00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1156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4856DFC3" w:rsidR="00FC2198" w:rsidRPr="0017531F" w:rsidRDefault="001156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B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082A236E" w:rsidR="00FC2198" w:rsidRPr="0017531F" w:rsidRDefault="001156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B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6AB77A22" w:rsidR="00FC2198" w:rsidRPr="0017531F" w:rsidRDefault="00C71AB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  <w:tc>
          <w:tcPr>
            <w:tcW w:w="2112" w:type="dxa"/>
            <w:gridSpan w:val="7"/>
            <w:vAlign w:val="center"/>
          </w:tcPr>
          <w:p w14:paraId="346823C5" w14:textId="11C5C5A9" w:rsidR="00FC2198" w:rsidRPr="0017531F" w:rsidRDefault="00C71AB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97B2898" w14:textId="0517D2A5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Prikaz povijesnog razvoja hrvatske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evnosti 19. stoljeća s najva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nijim autorima i njihovim opusima te stilovima, pravcima i modelima hrvatske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evnosti od hrvatskog narodnog preporoda, preko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protorealizma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 realizma do za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etaka moderne. Cilj je upoznati studente s razvojem hrvatske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evnosti 19. stoljeća u konstituiranju nacionalnog identiteta i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kulure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, i to u kontekstu s paralelnim društvenim i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evnopovijesnim zbivanjima u ostalim europskim zemljama. </w:t>
            </w:r>
          </w:p>
          <w:p w14:paraId="232A0C09" w14:textId="3D611A75" w:rsidR="00FC2198" w:rsidRPr="0017531F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evnici: Stanko Vraz, Petar Preradović, Ivan Ma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uranić, Dimitrija Demeter, Matija Ma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uranić, Antun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Nem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ić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Dragojla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Jarnevićeva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Janko Jurković, Luka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Botić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Mato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Vodopić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Franjo Marković, August Šenoa, Rikard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Jorgovanić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, Ante Kova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ić, Eugen Kumi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ić, Josip Kozarac, Vjenceslav Novak, Ksaver Šandor Gjalski, Josip Eugen Tomić,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Fran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Ma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uranić, Silvije Strahimir Kranj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ević, Jagoda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Truhelka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Jagoda Brlić,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Janko Leskovar, Antun Gustav Matoš, Ivo Vojnović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3D75D143" w14:textId="66DA0B6A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1. Upoznavanje sa sadr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ajem kolegija. Po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etci novije hrvatske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evnosti. Hrvatski narodni</w:t>
            </w:r>
          </w:p>
          <w:p w14:paraId="0183E07C" w14:textId="496FCBF3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preporod. Ilirski pokret. Ilirizam, ilirsko ime. Ilirizam i kroatizam. Ljudevit Gaj. Novine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horvatzke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Danica. Antun Mihanović. Janko Drašković.</w:t>
            </w:r>
          </w:p>
          <w:p w14:paraId="750AC295" w14:textId="1ABB9E2F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2. Okušavanje u razli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itim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evnim vrstama - Ljudevit Farkaš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Vukotinović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. Dramsko stvaralaštvo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Dimitrija Demetra. Poema Grobni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ko polje. Zaokupljenost povijesnom tematikom - historicizam.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Ivan Kukuljević Sakcinski. Va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nost putopisne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evnosti u preporodu.</w:t>
            </w:r>
            <w:r w:rsidR="0068463A">
              <w:t xml:space="preserve"> </w:t>
            </w:r>
            <w:r w:rsidR="0068463A" w:rsidRP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Hrvatski preporodni putopisi. S. Vraz, Matija </w:t>
            </w:r>
            <w:proofErr w:type="spellStart"/>
            <w:r w:rsidR="0068463A" w:rsidRPr="0068463A">
              <w:rPr>
                <w:rFonts w:ascii="Merriweather" w:eastAsia="MS Gothic" w:hAnsi="Merriweather" w:cs="Times New Roman"/>
                <w:sz w:val="16"/>
                <w:szCs w:val="16"/>
              </w:rPr>
              <w:t>Maţuranić</w:t>
            </w:r>
            <w:proofErr w:type="spellEnd"/>
            <w:r w:rsidR="0068463A" w:rsidRP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Antun </w:t>
            </w:r>
            <w:proofErr w:type="spellStart"/>
            <w:r w:rsidR="0068463A" w:rsidRPr="0068463A">
              <w:rPr>
                <w:rFonts w:ascii="Merriweather" w:eastAsia="MS Gothic" w:hAnsi="Merriweather" w:cs="Times New Roman"/>
                <w:sz w:val="16"/>
                <w:szCs w:val="16"/>
              </w:rPr>
              <w:t>Nem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="0068463A" w:rsidRPr="0068463A">
              <w:rPr>
                <w:rFonts w:ascii="Merriweather" w:eastAsia="MS Gothic" w:hAnsi="Merriweather" w:cs="Times New Roman"/>
                <w:sz w:val="16"/>
                <w:szCs w:val="16"/>
              </w:rPr>
              <w:t>ić</w:t>
            </w:r>
            <w:proofErr w:type="spellEnd"/>
            <w:r w:rsidR="0068463A" w:rsidRPr="0068463A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8E99E49" w14:textId="427CC6A3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3. Stanko Vraz i osnivanje Kola, 1842. Pjesnik, kriti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ar, putopisac, prevoditelj. Preporodna gibanja u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Dalmaciji. 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asopis Zora dalmatinska. </w:t>
            </w:r>
          </w:p>
          <w:p w14:paraId="60AC1B1E" w14:textId="61FF21E2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4. Razvoj poezije nakon S. Vraza. Pro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imanje klasicizma i romantizma u hrvatskoj poeziji narodnog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preporoda. Romanti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ar - Petar Preradović. Patriotizam, refleksivnost, misticizam. Ivan Ma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uranić.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Individualizam i kolektivizam.</w:t>
            </w:r>
            <w:r w:rsidR="0068463A">
              <w:t xml:space="preserve"> </w:t>
            </w:r>
            <w:r w:rsidR="0068463A" w:rsidRP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Preporodne pjesnikinje (Ana Vidović, </w:t>
            </w:r>
            <w:proofErr w:type="spellStart"/>
            <w:r w:rsidR="0068463A" w:rsidRPr="0068463A">
              <w:rPr>
                <w:rFonts w:ascii="Merriweather" w:eastAsia="MS Gothic" w:hAnsi="Merriweather" w:cs="Times New Roman"/>
                <w:sz w:val="16"/>
                <w:szCs w:val="16"/>
              </w:rPr>
              <w:t>Dragojla</w:t>
            </w:r>
            <w:proofErr w:type="spellEnd"/>
            <w:r w:rsidR="0068463A" w:rsidRP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="0068463A" w:rsidRPr="0068463A">
              <w:rPr>
                <w:rFonts w:ascii="Merriweather" w:eastAsia="MS Gothic" w:hAnsi="Merriweather" w:cs="Times New Roman"/>
                <w:sz w:val="16"/>
                <w:szCs w:val="16"/>
              </w:rPr>
              <w:t>Jarnevićeva</w:t>
            </w:r>
            <w:proofErr w:type="spellEnd"/>
            <w:r w:rsidR="0068463A" w:rsidRPr="0068463A">
              <w:rPr>
                <w:rFonts w:ascii="Merriweather" w:eastAsia="MS Gothic" w:hAnsi="Merriweather" w:cs="Times New Roman"/>
                <w:sz w:val="16"/>
                <w:szCs w:val="16"/>
              </w:rPr>
              <w:t>, Jagoda Brlić).</w:t>
            </w:r>
          </w:p>
          <w:p w14:paraId="383DB4EE" w14:textId="19ED98B3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5. Druga polovica 19. stoljeća u Europi i Hrvatskoj. Bachov apsolutizam i zamiranje preporodnih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gibanja. Mirko Bogović. Pjesnik,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dramatiĉar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urednik 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asopisa Neven. Proza i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evna kritika u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doba hrvatskog narodnog preporoda. </w:t>
            </w:r>
          </w:p>
          <w:p w14:paraId="3252D904" w14:textId="77777777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6. Razvoj novele u preporodno doba i nakon Bachova apsolutizma.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Vukotinović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, Sakcinski,</w:t>
            </w:r>
          </w:p>
          <w:p w14:paraId="168E4AE1" w14:textId="259C1EBF" w:rsidR="00FC2198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Demeter, Bogović,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Tkal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ević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. Povijesne novele. Kukuljevićevo uvo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đ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enje aktualne tematike. Po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etci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psihološke novele.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Dragojla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Jarnevićeva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. Pripovijesti. Dnevni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ka proza. Pojava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evnih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po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etnika: Janko Jurković, Luka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Botić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, Vladimir Nikolić</w:t>
            </w:r>
          </w:p>
          <w:p w14:paraId="2CB7C778" w14:textId="5F77A215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7. Razvoj hrvatske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evnosti za vrijeme i nakon Bachova apsolutizma. 50-te i 60-te godine u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Hrvatskoj.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evnost u funkciji konstituiranja moderne nacije. Djelovanje triju literarnih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generacija. 1. generacija: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Jarnevićeva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, Bogović, Grgo Martić,</w:t>
            </w:r>
          </w:p>
          <w:p w14:paraId="4C02958C" w14:textId="52CBDBCD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Ivan Frano Jukić. 2. generacija: Luka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Botić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. Motiv vjerske tolerancije.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Neven, Kolo.</w:t>
            </w:r>
          </w:p>
          <w:p w14:paraId="0BEE5CE4" w14:textId="3398EF13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>8. Treća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evna generacija – ulazi potkraj apsolutizma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: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V.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Korajac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B.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Lorković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, I. Perkovac, M.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Kraljević. Naše gore list.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Predšenoina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 Šenoina generacija. Pokušaji romana prije Šenoe. M.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Kraljević. A.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Nem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ić</w:t>
            </w:r>
            <w:proofErr w:type="spellEnd"/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,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D.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Jarnevićeva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– iskustvo 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ene. Ivan Krstitelj Tkal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ić. Pripovijesti Mate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Vodopića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41A50CA9" w14:textId="1EB4F29F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9.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Protorealizam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hrvatskoj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knjiţevnosti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. „Šenoino doba“. Va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nost Matice hrvatske za razvoj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evnosti. 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asopis Vijenac. Franjo Marković. Šenoin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programatski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lanak Naša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evnost,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1865. Polemike mladog Šenoe. Urednik Vijenca 1874-1881. Šenoino pjesništvo. Povjestice.</w:t>
            </w:r>
          </w:p>
          <w:p w14:paraId="738E6AA0" w14:textId="2BD52AC4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10. Šenoina popularizacija romana. Model povijesnog romana A. Šenoe. Feljtonistika. Kritika.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Praški listovi.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Zagrebulje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. O hrvatskom kazalištu. Šenoini romani i pripovijesti iz suvremenog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ivota.</w:t>
            </w:r>
          </w:p>
          <w:p w14:paraId="0A947F3A" w14:textId="0F1DA774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11. Hrvatski realizam. Pisci nakon Šenoe. Josip Eugen Tomić. Nastavljanje na Šenou: povijesna 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suvremena tematika. Tomićev kazališni rad. Ferdo Becić. Eugen Kumi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ić i borba za naturalizam.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evna polemika.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Kumi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ićev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lanak O romanu. Sukob kriti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ara: Josip Pasarić i Janko Ibler.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Prodor regionalnih motiva u hrvatsku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evnost.</w:t>
            </w:r>
          </w:p>
          <w:p w14:paraId="39ED7057" w14:textId="53516A76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12. Miješanje romanti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arskih, realisti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kih, naturalisti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kih i modernisti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kih tendencija pri kraju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stoljeća. Rikard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Flieder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Jorgovanić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– prvi hrvatski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fantasti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ar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. Razvoj fantasti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noga 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anra (J.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Leskovar, A. G. Matoš)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Ante Kova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ić. Bulevarski roman. Travestija. Kova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ićeva feljtonistika,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pripovijesti i romani. U registraturi, 1888. – zabranjeni roman.</w:t>
            </w:r>
          </w:p>
          <w:p w14:paraId="216E586F" w14:textId="0F69AABE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13. Otpor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evnika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khuenovskoj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Hrvatskoj. Josip Kozarac, Pripovijesti i romani J. Kozarca. K. Š.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Gjalski. Tematika propadanja plemstva. Vjenceslav Novak.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evni 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asopisi druge polovice 19. st.</w:t>
            </w:r>
          </w:p>
          <w:p w14:paraId="31651C9B" w14:textId="189BC42E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14. Pjesnici realizma. Poezija Silvija Strahimira Kranj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evića. Razvoj dramske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evnosti na kraju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stoljeća. Po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etci „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enskog pisma“ (nakon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Jarnevićeve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Jagoda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Truhelka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). Po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etci M. J. Zagorke.</w:t>
            </w:r>
          </w:p>
          <w:p w14:paraId="6BEF0205" w14:textId="0CB43245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15. Hrvatska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evna kritika u razdoblju realizma. Kraj 19. stoljeća – putem prema Moderni.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Kršenje realisti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kih konvencija. Janko Leskovar, Rikard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Flieder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Jorgovanić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. Pojava A. G. Matoša 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Iva Vojnovića.</w:t>
            </w:r>
          </w:p>
          <w:p w14:paraId="6E3A408E" w14:textId="4B2D69E9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Literatura za svaku jedinicu nalazi se u e-kolegiju.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005BFD65" w14:textId="10668204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Miroslav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Šicel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Povijest hrvatske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evnosti, knj. I. Od Andrije Ka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ića Miošića do Augusta Šenoe</w:t>
            </w:r>
          </w:p>
          <w:p w14:paraId="6414C16A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(1750.-1881.) (poglavlja od ilirizma do Šenoe)</w:t>
            </w:r>
          </w:p>
          <w:p w14:paraId="0B89B5BE" w14:textId="75F0FC8D" w:rsidR="00FC2198" w:rsidRPr="0017531F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Miroslav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Šicel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Povijest hrvatske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evnosti knj. II. Realizam, Zagreb, 2005.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4C52F0DC" w14:textId="4DA25A6C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Josip Bratulić, Hrvatsko devetnaesto stoljeće. Politika, jezik, kultura, Hrvatska sveu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ilišna naklada,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Dr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avni arhiv u Pazinu, Zagreb, 2018.</w:t>
            </w:r>
          </w:p>
          <w:p w14:paraId="24EF000A" w14:textId="3BA010C8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Vinko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Brešić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Hrvatska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 19. stoljeća, Zagreb, 2015.</w:t>
            </w:r>
          </w:p>
          <w:p w14:paraId="7FE14A7C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Davor Dukić,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Ilirocentrizam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intranacionalna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komparatistika: prolegomena za reviziju</w:t>
            </w:r>
          </w:p>
          <w:p w14:paraId="141667E6" w14:textId="3F8508C2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knjiţevnopovijesnog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narativa o 1830-im i 1840-im godinama, u: Transmisije kroatistike (zbornik),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2015., http://kroat.ffzg.unizg.hr/images/pdf/Transmisije_kroatistike.pdf</w:t>
            </w:r>
          </w:p>
          <w:p w14:paraId="3A9C9A27" w14:textId="42F5DF3C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Branimir Donat,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Prakseologija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hrvatske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evnosti I.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Predmodernost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 modernost. Zagreb, 2011.</w:t>
            </w:r>
          </w:p>
          <w:p w14:paraId="24D2A6F8" w14:textId="5AE195A1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- Petar Preradović u klju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novog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itanja</w:t>
            </w:r>
          </w:p>
          <w:p w14:paraId="405C3D54" w14:textId="08865761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Ideologi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nost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pripovjedaka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Ivana Perkovca</w:t>
            </w:r>
          </w:p>
          <w:p w14:paraId="2DA99310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Vilim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Korajac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tradiciji narodnog smijeha</w:t>
            </w:r>
          </w:p>
          <w:p w14:paraId="5D7B9498" w14:textId="4526761F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- Stotinu godina fantasti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noga u hrvatskoj prozi</w:t>
            </w:r>
          </w:p>
          <w:p w14:paraId="69006581" w14:textId="43E13CC1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Ivan Bošković,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 neoklasicizma i romantizma, Split, 2007. (od 48. do 161. str.)</w:t>
            </w:r>
          </w:p>
          <w:p w14:paraId="4F430158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https://www.ffst.unist.hr/images/50013807/Boskovic_hknr.pdf</w:t>
            </w:r>
          </w:p>
          <w:p w14:paraId="589773FE" w14:textId="2E56CC48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Antun </w:t>
            </w:r>
            <w:proofErr w:type="spellStart"/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esko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Za Kranj</w:t>
            </w:r>
            <w:r w:rsidR="007D2273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evića. Od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arhivacije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do kanonizacije, Zagreb – Dubrovnik, Matica hrvatska</w:t>
            </w:r>
          </w:p>
          <w:p w14:paraId="4549CE1C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– Matica hrvatska – ogranak Dubrovnik, 2015.</w:t>
            </w:r>
          </w:p>
          <w:p w14:paraId="3B74E529" w14:textId="45F0669D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Milorad </w:t>
            </w:r>
            <w:proofErr w:type="spellStart"/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ivan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ević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- Ivo Frangeš: Ilirizam. Realizam. (Povijest hrvatske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knjiţevnosti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knj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4,</w:t>
            </w:r>
          </w:p>
          <w:p w14:paraId="0E881955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Zagreb, 1975.)</w:t>
            </w:r>
          </w:p>
          <w:p w14:paraId="164097A4" w14:textId="68936AA9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Miroslav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Šicel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Hrvatska knji</w:t>
            </w:r>
            <w:r w:rsidR="007D2273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 19. i 20. stoljeća, Zagreb, 1997. (poglavlja posvećena ilirizmu</w:t>
            </w:r>
          </w:p>
          <w:p w14:paraId="4706262D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 realizmu)</w:t>
            </w:r>
          </w:p>
          <w:p w14:paraId="51F35DA5" w14:textId="7D834B7F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Slavko Je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ić, Hrvatska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 od po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etaka do danas (1100.-1941.), Zagreb, 1944; 1993.;</w:t>
            </w:r>
          </w:p>
          <w:p w14:paraId="005C5FDB" w14:textId="22D82F04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Ivo Frangeš, Povijest hrvatske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evnosti, Zagreb – Ljubljana, 1987.</w:t>
            </w:r>
          </w:p>
          <w:p w14:paraId="205AC6B4" w14:textId="12339106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Dubravko Jel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ić, Hrvatski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evni romantizam, Zagreb, 2002.</w:t>
            </w:r>
          </w:p>
          <w:p w14:paraId="5585ABB9" w14:textId="7E36F9A2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Slobodan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Prosperov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Novak, Povijest hrvatske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evnosti, Zagreb, 2004;</w:t>
            </w:r>
          </w:p>
          <w:p w14:paraId="0419CB3A" w14:textId="1FA0AC9B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Dunja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Detoni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-Dujmić, Ljepša polovica knji</w:t>
            </w:r>
            <w:r w:rsidR="007D2273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evnosti, Zagreb, 1998.</w:t>
            </w:r>
          </w:p>
          <w:p w14:paraId="6C961C93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Ante Franić, Hrvatski putopisi romantizma, 1983.</w:t>
            </w:r>
          </w:p>
          <w:p w14:paraId="55D32F8F" w14:textId="262805C9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Ante Stamać,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udni ljudi Augusta Šenoe. U: Rasprave i eseji o hrvatskoj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evnosti, Rijeka, 1997.</w:t>
            </w:r>
          </w:p>
          <w:p w14:paraId="21D45A0B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Nikola Batušić, Hrvatska drama 19. stoljeća, Zagreb, 1981.</w:t>
            </w:r>
          </w:p>
          <w:p w14:paraId="0C8CD492" w14:textId="32387552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Krešimir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Nemec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Povijest hrvatskog romana od po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etaka do kraja devetnaestog stoljeća, Zagreb,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1994.</w:t>
            </w:r>
          </w:p>
          <w:p w14:paraId="1B3149ED" w14:textId="0900F21A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Nemec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Krešimir. 1992. Šenoina koncepcija povijesnog romana. Umjetnost rije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 36. (2), str. 155-164.</w:t>
            </w:r>
          </w:p>
          <w:p w14:paraId="4CEDBCF3" w14:textId="38915085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Nemec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Krešimir. 1998. Poetika hajdu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ko-turske novelistike. U: Dani hvarskoga kazališta(24),</w:t>
            </w:r>
          </w:p>
          <w:p w14:paraId="5776846D" w14:textId="353AEF0F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Hrvatska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 u doba preporoda (ilirizam, romantizam),str. 112-123.</w:t>
            </w:r>
          </w:p>
          <w:p w14:paraId="78C334BE" w14:textId="4A2E19A2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Zvjezdana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Rados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Hrvatska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 u Zadru (19. st.), Zadar, 2007.</w:t>
            </w:r>
          </w:p>
          <w:p w14:paraId="73CB537B" w14:textId="220973C4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Marina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Protrka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Stvaranje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evne nacije. Oblikovanje kanona u hrvatskoj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evnoj periodici 19.</w:t>
            </w:r>
          </w:p>
          <w:p w14:paraId="5A4E9CA1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stoljeća. FF Zagreb, 2008.</w:t>
            </w:r>
          </w:p>
          <w:p w14:paraId="14DBAB93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https://archive.org/details/StvaranjeKnjievneNacije</w:t>
            </w:r>
          </w:p>
          <w:p w14:paraId="44031D2C" w14:textId="5C77B90A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Šicel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M. Polemike o realizmu i naturalizmu u hrvatskoj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evnosti. u Dani hvarskog kazališta: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Gra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đ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a i rasprave o hrvatskoj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evnosti i kazalištu., Vol. 26 (2001) 1</w:t>
            </w:r>
          </w:p>
          <w:p w14:paraId="2C0DC91B" w14:textId="14E5118E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Pavli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ić, Pavao, Kojoj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evnoj vrsti pripada Smrt Smail-age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engića? Umjetnost rije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 :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asopis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za znanost o knji</w:t>
            </w:r>
            <w:r w:rsidR="007D2273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evnosti, 35 (1991), 3 ; str. 187-201.</w:t>
            </w:r>
          </w:p>
          <w:p w14:paraId="2DBB1143" w14:textId="526F7E7F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Tomasović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Mirko. 2003. »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Neopetrarkizam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repetrarkizam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hrvatskom romantizmu«, Forum, 42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(2003) 1–3, str. 331–346.</w:t>
            </w:r>
          </w:p>
          <w:p w14:paraId="0920151B" w14:textId="39411AC2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Partyka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Maria Dabrowska.1984. Projekcija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itaoca u Šenoinu romanu.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Umjetnost rije</w:t>
            </w:r>
            <w:r w:rsidR="007D2273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 28., br. 4.,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str. 305-313.</w:t>
            </w:r>
          </w:p>
          <w:p w14:paraId="2ED6550C" w14:textId="48DDB49C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Kornelija Kuva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-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Leva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ić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Moć i nemoć fantastike,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evni krug Split, 2013.</w:t>
            </w:r>
          </w:p>
          <w:p w14:paraId="7EE3591B" w14:textId="21D17F77" w:rsid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Kornelija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Kuvač-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Levačić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Emocijski narativi o traumi silovanja u hrvatskoj književnosti od 19. do 21. stoljeća // Bosanskohercegovački slavistički kongres III. Zbornik radova, knjiga 2. /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Bavrka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Jelena ;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Ibrišimović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-Šabić,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Adijata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; Murtić, Edina (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ur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.).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Sarajevo: Slavistički komitet, 2022. str. 199-220</w:t>
            </w:r>
          </w:p>
          <w:p w14:paraId="7D13C122" w14:textId="07465FFE" w:rsid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Kornelija Kuvač-</w:t>
            </w:r>
            <w:proofErr w:type="spellStart"/>
            <w:r>
              <w:rPr>
                <w:rFonts w:ascii="Merriweather" w:eastAsia="MS Gothic" w:hAnsi="Merriweather" w:cs="Times New Roman"/>
                <w:sz w:val="16"/>
                <w:szCs w:val="16"/>
              </w:rPr>
              <w:t>Levačić</w:t>
            </w:r>
            <w:proofErr w:type="spellEnd"/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Novigradska kula kao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heterotopija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krize i devijacije u romanu Aug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u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sta Šenoe Kletva // 800 godina od obnove rimske kule i prvog spomena imena Novigrad u pisanim izvorima /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Uglešić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Ante ;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Begonja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Zlatko (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ur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.).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Zadar: Sveučilište u Zadru, Općina Novigrad, 2021. str. 249-25</w:t>
            </w:r>
          </w:p>
          <w:p w14:paraId="0770FF98" w14:textId="1D661E89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Kornelija Kuva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-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Leva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ić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Reprezentacija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enske neplodnosti u hrvatskoj tradicijskoj kulturi 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evnosti od kraja 19. do po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etka 21. stoljeća. // Narodna umjetnost: hrvatski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asopis za</w:t>
            </w:r>
          </w:p>
          <w:p w14:paraId="150A26B0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etnologiju i folkloristiku. 50 (2013) , 2; 188-203</w:t>
            </w:r>
          </w:p>
          <w:p w14:paraId="417AF7D1" w14:textId="61C2AD28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Kornelija Kuva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-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Leva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ić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Motivi ranih maj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inskih praksa unutar konstrukcije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evnih</w:t>
            </w:r>
          </w:p>
          <w:p w14:paraId="2581EA83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ideologema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(J. E. Tomić, Melita, 1899. i Mara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Švel-Gamiršek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Mati, 1942.). U:</w:t>
            </w:r>
          </w:p>
          <w:p w14:paraId="040E786A" w14:textId="4C00ACE3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Bosanskohercegova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ki slavisti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ki kongres, Zbornik radova, knjiga 2. 2 (2012) ; 303-318</w:t>
            </w:r>
          </w:p>
          <w:p w14:paraId="63D07860" w14:textId="7B03674A" w:rsidR="00391C47" w:rsidRPr="0017531F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Kornelija Kuva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-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Leva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ić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Porodni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peĉat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– mitsko konstituiranje glavnog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ţenskog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lika u pri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ama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Dragojle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Jarnevićeve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 Vesne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Bige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. U:Umjetnost rije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 :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asopis za znanost o knji</w:t>
            </w:r>
            <w:r w:rsidR="002E090D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evnosti. 1-2(2011) ; 15-31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236655C5" w:rsidR="00FC2198" w:rsidRPr="0017531F" w:rsidRDefault="00356375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Lektira za dvopredmetne studente</w:t>
            </w:r>
          </w:p>
        </w:tc>
        <w:tc>
          <w:tcPr>
            <w:tcW w:w="7486" w:type="dxa"/>
            <w:gridSpan w:val="33"/>
            <w:vAlign w:val="center"/>
          </w:tcPr>
          <w:p w14:paraId="2FC6663C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Lektira u prvom dijelu popisa (do crte) ulazi u prvi kolokvij, a u drugom dijelu u drugi.</w:t>
            </w:r>
          </w:p>
          <w:p w14:paraId="4291983D" w14:textId="1BC5984D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Poezija Stanka Vraza.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(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Izabrati i u dnevniku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itanja obraditi 5 pjesama iz bilo koje edicije sabranih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djela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U izbor uklju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iti 1 pjesmu iz Đulabija, 1 sonet, 1 gazelu, 1 baladu, 1 romancu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.)</w:t>
            </w:r>
          </w:p>
          <w:p w14:paraId="668A22F7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(http://kgzdzb.arhivpro.hr/?kdoc=11017847 i ostali tiskani izvori)</w:t>
            </w:r>
          </w:p>
          <w:p w14:paraId="5C6C5085" w14:textId="6BCF4CCE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Poezija Petra Preradovića. Izabrati i u dnevniku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itanja obraditi 5 pjesama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Uz to: 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Prvi ljudi, Zmija, Mujezin</w:t>
            </w:r>
          </w:p>
          <w:p w14:paraId="4259E2A5" w14:textId="73B2053E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Poezija Ane Vidović </w:t>
            </w:r>
            <w:r w:rsidR="007D2273">
              <w:rPr>
                <w:rFonts w:ascii="Merriweather" w:eastAsia="MS Gothic" w:hAnsi="Merriweather" w:cs="Times New Roman"/>
                <w:sz w:val="16"/>
                <w:szCs w:val="16"/>
                <w:u w:val="single"/>
              </w:rPr>
              <w:t>i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Dragojle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Jarnević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(izabrati po jednu pjesmu)</w:t>
            </w:r>
          </w:p>
          <w:p w14:paraId="0D58B61A" w14:textId="57B57BA0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Ivan Ma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uranić, Smrt Smail-age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engića</w:t>
            </w:r>
          </w:p>
          <w:p w14:paraId="1F4EB4FA" w14:textId="0C59791B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Pro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itati 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  <w:u w:val="single"/>
              </w:rPr>
              <w:t>jedan od navedenih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preporodnih putopisa:</w:t>
            </w:r>
          </w:p>
          <w:p w14:paraId="6A9BA703" w14:textId="08B2FDB1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Stanko Vraz, Put u gornje strane u: Dubravko Horvatić, Hrvatski putopis, K. Krešimir,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Zagreb,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2002.</w:t>
            </w:r>
          </w:p>
          <w:p w14:paraId="225AB9C7" w14:textId="249D07A1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Matija Ma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uranić, Pogled u Bosnu, (u: Izabrana djela, Pet stoljeća hrvatske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knjiţevnosti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, knj. 32.,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Zg, 1965.)</w:t>
            </w:r>
          </w:p>
          <w:p w14:paraId="0D95D200" w14:textId="560F1341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Antun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Nem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ić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Putositnice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(u: Izabrana djela, Pet stoljeća hrvatske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knjiţevnosti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, knj. 34., Zg, 1965.)</w:t>
            </w:r>
          </w:p>
          <w:p w14:paraId="3EC1DB23" w14:textId="77777777" w:rsidR="007D2273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Dimitrija Demeter, Teuta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="007D2273">
              <w:rPr>
                <w:rFonts w:ascii="Merriweather" w:eastAsia="MS Gothic" w:hAnsi="Merriweather" w:cs="Times New Roman"/>
                <w:sz w:val="16"/>
                <w:szCs w:val="16"/>
              </w:rPr>
              <w:t>i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Grobni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ko polje</w:t>
            </w:r>
          </w:p>
          <w:p w14:paraId="423D1D49" w14:textId="77777777" w:rsidR="007D2273" w:rsidRDefault="007D2273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47A60126" w14:textId="1C4A3C97" w:rsidR="00356375" w:rsidRPr="00356375" w:rsidRDefault="007D2273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Pročitati jednu od novela hrvatskih preporoditelja</w:t>
            </w:r>
            <w:r w:rsidR="00356375"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koje se spominju na prezentacijama.</w:t>
            </w:r>
          </w:p>
          <w:p w14:paraId="79988550" w14:textId="77777777" w:rsid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4686DCA8" w14:textId="3EE58799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Mirko Bogović, Šilo za ognjilo</w:t>
            </w:r>
          </w:p>
          <w:p w14:paraId="3ECBE84E" w14:textId="56B37FF8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Janko Jurković, Pavao </w:t>
            </w:r>
            <w:r w:rsidR="007D2273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uturić</w:t>
            </w:r>
          </w:p>
          <w:p w14:paraId="2F9BD8EB" w14:textId="755727B5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>Adolfo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Veber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Tkal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ević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Nadala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Bakarka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(ili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Zagrepkinja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)</w:t>
            </w:r>
          </w:p>
          <w:p w14:paraId="08DD8E62" w14:textId="3F412C54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Ivan Perkovac,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Stankova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ka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iteljica</w:t>
            </w:r>
          </w:p>
          <w:p w14:paraId="36AC055E" w14:textId="2D9CFEA8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Dragojla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Jarnević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: Dnevnik (izbor iz edicije Stoljeća hrvatske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evnosti, pro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itati jedno</w:t>
            </w:r>
          </w:p>
          <w:p w14:paraId="0056B0BB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poglavlje)</w:t>
            </w:r>
          </w:p>
          <w:p w14:paraId="18C6B7A6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Luka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Botić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: Bijedna Mara</w:t>
            </w:r>
          </w:p>
          <w:p w14:paraId="72CEF311" w14:textId="763011FE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August Šenoa, Zlatarovo zlato ILI Selja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ka buna</w:t>
            </w:r>
            <w:r w:rsidR="007D227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Prosjak Luka, Branka, Prijan Lovro, Vladimir</w:t>
            </w:r>
          </w:p>
          <w:p w14:paraId="084FCAFD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Povjestice (izabrati jednu: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Kugina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kuća, Postolar i vrag)</w:t>
            </w:r>
          </w:p>
          <w:p w14:paraId="782B1077" w14:textId="764AE008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______________________________________________________</w:t>
            </w:r>
          </w:p>
          <w:p w14:paraId="2723AD27" w14:textId="579C653D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Eugen Kumi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ić, Olga i Lina (ili Gospo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đ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a Sabina)</w:t>
            </w:r>
          </w:p>
          <w:p w14:paraId="591FBE81" w14:textId="2D2F232D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Kranj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ević, Silvije Strahimir, Poezija, iz Izabranih djela, Stoljeća hrvatske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evnosti, Zagreb,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1996. </w:t>
            </w:r>
          </w:p>
          <w:p w14:paraId="31DC4770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Josip Eugen Tomić, Melita</w:t>
            </w:r>
          </w:p>
          <w:p w14:paraId="6AAD4EBB" w14:textId="0A106E61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K. Š. Gjalski, Janko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Borislavić</w:t>
            </w:r>
            <w:proofErr w:type="spellEnd"/>
            <w:r w:rsidR="007D227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Radmilović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U noći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(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ILI San doktora Mišića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)</w:t>
            </w:r>
          </w:p>
          <w:p w14:paraId="15B23ADF" w14:textId="521E89A9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Ante Kova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ić, U registraturi</w:t>
            </w:r>
            <w:r w:rsidR="007D227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Smrt babe </w:t>
            </w:r>
            <w:proofErr w:type="spellStart"/>
            <w:r w:rsidR="007D2273">
              <w:rPr>
                <w:rFonts w:ascii="Merriweather" w:eastAsia="MS Gothic" w:hAnsi="Merriweather" w:cs="Times New Roman"/>
                <w:sz w:val="16"/>
                <w:szCs w:val="16"/>
              </w:rPr>
              <w:t>Čengićkinje</w:t>
            </w:r>
            <w:proofErr w:type="spellEnd"/>
            <w:r w:rsidR="007D2273">
              <w:rPr>
                <w:rFonts w:ascii="Merriweather" w:eastAsia="MS Gothic" w:hAnsi="Merriweather" w:cs="Times New Roman"/>
                <w:sz w:val="16"/>
                <w:szCs w:val="16"/>
              </w:rPr>
              <w:t>, Fiškal, Ladanjska katastrofa</w:t>
            </w:r>
          </w:p>
          <w:p w14:paraId="718935CE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Jednu pjesmu po izboru: Pokornom kljusetu, Kameleonu, Velikom patuljku</w:t>
            </w:r>
          </w:p>
          <w:p w14:paraId="37E213E7" w14:textId="6AE15C3D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Josip Kozarac, Tena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Oprava (ILI Mira </w:t>
            </w:r>
            <w:proofErr w:type="spellStart"/>
            <w:r>
              <w:rPr>
                <w:rFonts w:ascii="Merriweather" w:eastAsia="MS Gothic" w:hAnsi="Merriweather" w:cs="Times New Roman"/>
                <w:sz w:val="16"/>
                <w:szCs w:val="16"/>
              </w:rPr>
              <w:t>Kodolićeva</w:t>
            </w:r>
            <w:proofErr w:type="spellEnd"/>
            <w:r>
              <w:rPr>
                <w:rFonts w:ascii="Merriweather" w:eastAsia="MS Gothic" w:hAnsi="Merriweather" w:cs="Times New Roman"/>
                <w:sz w:val="16"/>
                <w:szCs w:val="16"/>
              </w:rPr>
              <w:t>)</w:t>
            </w:r>
          </w:p>
          <w:p w14:paraId="77224654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Rikard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Flieder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Jorgovanić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, Ljubav na odru i jednu pjesmu (Izabrana djela, Stoljeća hrvatske</w:t>
            </w:r>
          </w:p>
          <w:p w14:paraId="78F0F44E" w14:textId="27F418A5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evnosti)</w:t>
            </w:r>
          </w:p>
          <w:p w14:paraId="4ED954D6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Jagoda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Truhelka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Plein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air</w:t>
            </w:r>
            <w:proofErr w:type="spellEnd"/>
          </w:p>
          <w:p w14:paraId="0298835E" w14:textId="0558C7FB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Janko Leskovar, Misao na vje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nost</w:t>
            </w:r>
          </w:p>
          <w:p w14:paraId="2FF456A9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A. G. Matoš, Moć savjesti</w:t>
            </w:r>
          </w:p>
          <w:p w14:paraId="4BAD5D00" w14:textId="56BDA654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Vjenceslav Novak, Posljednji Stipan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ići</w:t>
            </w:r>
            <w:r w:rsidR="007D2273">
              <w:rPr>
                <w:rFonts w:ascii="Merriweather" w:eastAsia="MS Gothic" w:hAnsi="Merriweather" w:cs="Times New Roman"/>
                <w:sz w:val="16"/>
                <w:szCs w:val="16"/>
              </w:rPr>
              <w:t>, Dva svijeta</w:t>
            </w:r>
          </w:p>
          <w:p w14:paraId="54D59E0B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Pripovijesti: U glib (ILI Iz velegradskog podzemlja)</w:t>
            </w:r>
          </w:p>
          <w:p w14:paraId="221CEC0E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Ivo Vojnović, Ekvinocij</w:t>
            </w:r>
          </w:p>
          <w:p w14:paraId="4A98A9AE" w14:textId="7D470C55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Izbor iz hrvatske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evne kritike realizma (edicija Pet stoljeća hrvatske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knjiţevnosti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) –</w:t>
            </w:r>
          </w:p>
          <w:p w14:paraId="3DCC4888" w14:textId="5DB254D2" w:rsidR="00356375" w:rsidRPr="0017531F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PROĈITATI I OBRADITI DVA TEKSTA KNJIŢEVNIH KRITIĈARA</w:t>
            </w: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11561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11561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19D40F3E" w:rsidR="00B71A57" w:rsidRPr="0017531F" w:rsidRDefault="0011561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37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11561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11561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4C8E506B" w:rsidR="00B71A57" w:rsidRPr="0017531F" w:rsidRDefault="0011561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37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2304BF41" w:rsidR="00B71A57" w:rsidRPr="0017531F" w:rsidRDefault="0011561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37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11561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11561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61E6FABC" w:rsidR="00B71A57" w:rsidRPr="0017531F" w:rsidRDefault="0011561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37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  <w:r w:rsidR="0035637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30BF1A42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50% kolokvij, 50% završni ispit</w:t>
            </w:r>
          </w:p>
        </w:tc>
      </w:tr>
      <w:tr w:rsidR="00FC2198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75C435A5" w:rsidR="00FC2198" w:rsidRPr="0017531F" w:rsidRDefault="0035637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Manje od 50% 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FC2198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145F2363" w:rsidR="00FC2198" w:rsidRPr="0017531F" w:rsidRDefault="0035637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50%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FC2198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183AB7D9" w:rsidR="00FC2198" w:rsidRPr="0017531F" w:rsidRDefault="0035637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75%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FC2198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30250E1C" w:rsidR="00FC2198" w:rsidRPr="0017531F" w:rsidRDefault="0035637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85%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C2198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4C6D8D32" w:rsidR="00FC2198" w:rsidRPr="0017531F" w:rsidRDefault="0035637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1156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1156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1156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1156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1156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krivotvorenja kao što su uporaba ili posjedovanje neautorizirana materijala tijekom ispita; lažno predstavljanje i nazočnost ispitima u ime drugih studenata; lažiranje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>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0" w:history="1">
              <w:r w:rsidRPr="0017531F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8A038" w14:textId="77777777" w:rsidR="00A06750" w:rsidRDefault="00A06750" w:rsidP="009947BA">
      <w:pPr>
        <w:spacing w:before="0" w:after="0"/>
      </w:pPr>
      <w:r>
        <w:separator/>
      </w:r>
    </w:p>
  </w:endnote>
  <w:endnote w:type="continuationSeparator" w:id="0">
    <w:p w14:paraId="2AF5D626" w14:textId="77777777" w:rsidR="00A06750" w:rsidRDefault="00A0675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8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F6982" w14:textId="77777777" w:rsidR="00A06750" w:rsidRDefault="00A06750" w:rsidP="009947BA">
      <w:pPr>
        <w:spacing w:before="0" w:after="0"/>
      </w:pPr>
      <w:r>
        <w:separator/>
      </w:r>
    </w:p>
  </w:footnote>
  <w:footnote w:type="continuationSeparator" w:id="0">
    <w:p w14:paraId="201407E8" w14:textId="77777777" w:rsidR="00A06750" w:rsidRDefault="00A06750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Zaglavlje"/>
    </w:pPr>
  </w:p>
  <w:p w14:paraId="4983D3AB" w14:textId="77777777"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332B"/>
    <w:rsid w:val="0011561E"/>
    <w:rsid w:val="001443A2"/>
    <w:rsid w:val="00150B32"/>
    <w:rsid w:val="00152E3F"/>
    <w:rsid w:val="0017531F"/>
    <w:rsid w:val="00197510"/>
    <w:rsid w:val="001C7C51"/>
    <w:rsid w:val="00226462"/>
    <w:rsid w:val="0022722C"/>
    <w:rsid w:val="0028545A"/>
    <w:rsid w:val="002E090D"/>
    <w:rsid w:val="002E1CE6"/>
    <w:rsid w:val="002F2D22"/>
    <w:rsid w:val="00310F9A"/>
    <w:rsid w:val="00326091"/>
    <w:rsid w:val="00356375"/>
    <w:rsid w:val="00357643"/>
    <w:rsid w:val="00371634"/>
    <w:rsid w:val="00386E9C"/>
    <w:rsid w:val="00391C47"/>
    <w:rsid w:val="00393964"/>
    <w:rsid w:val="003D7529"/>
    <w:rsid w:val="003F11B6"/>
    <w:rsid w:val="003F17B8"/>
    <w:rsid w:val="003F61EA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63A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2273"/>
    <w:rsid w:val="007D4D2D"/>
    <w:rsid w:val="00847D00"/>
    <w:rsid w:val="00865776"/>
    <w:rsid w:val="00874D5D"/>
    <w:rsid w:val="00891C60"/>
    <w:rsid w:val="008942F0"/>
    <w:rsid w:val="008D45DB"/>
    <w:rsid w:val="008D76C6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C02454"/>
    <w:rsid w:val="00C3477B"/>
    <w:rsid w:val="00C71AB2"/>
    <w:rsid w:val="00C85956"/>
    <w:rsid w:val="00C9733D"/>
    <w:rsid w:val="00CA361E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purl.org/dc/terms/"/>
    <ds:schemaRef ds:uri="c0c81848-98b4-4b6d-be27-8ad82fbb734a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01facab-09bf-48c4-99d1-6645d1ca6c3c"/>
  </ds:schemaRefs>
</ds:datastoreItem>
</file>

<file path=customXml/itemProps4.xml><?xml version="1.0" encoding="utf-8"?>
<ds:datastoreItem xmlns:ds="http://schemas.openxmlformats.org/officeDocument/2006/customXml" ds:itemID="{B16346FE-4DE6-421B-BA17-CA20C021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2797</Words>
  <Characters>15946</Characters>
  <Application>Microsoft Office Word</Application>
  <DocSecurity>0</DocSecurity>
  <Lines>132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Kornelija Kuvač</cp:lastModifiedBy>
  <cp:revision>2</cp:revision>
  <cp:lastPrinted>2021-02-12T11:27:00Z</cp:lastPrinted>
  <dcterms:created xsi:type="dcterms:W3CDTF">2024-03-12T16:52:00Z</dcterms:created>
  <dcterms:modified xsi:type="dcterms:W3CDTF">2024-03-12T16:52:00Z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