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4ECCA5C6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</w:t>
            </w:r>
            <w:r w:rsidR="009C4912"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./202</w:t>
            </w:r>
            <w:r w:rsidR="009C4912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486EFBE4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</w:t>
            </w:r>
            <w:r w:rsidR="007768E2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rvati i hrvatski izvan Hrvatske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1FB5C18A" w:rsidR="00693F1A" w:rsidRDefault="00BB4273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4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0219E0AF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</w:t>
            </w:r>
            <w:r w:rsidR="00BB4273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jednopredmetni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</w:t>
            </w:r>
            <w:r w:rsidR="009C4912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diplomski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386329A2" w:rsidR="00693F1A" w:rsidRDefault="007768E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5946B323" w:rsidR="00693F1A" w:rsidRDefault="007768E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4127F675" w:rsidR="00693F1A" w:rsidRDefault="00D53C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D0F9A67" w:rsidR="00693F1A" w:rsidRDefault="006276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6406B0AD" w:rsidR="00693F1A" w:rsidRDefault="007768E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360AA51F" w:rsidR="00693F1A" w:rsidRDefault="006276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>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24BD48AA" w:rsidR="00693F1A" w:rsidRDefault="009C491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63C6CD0A" w:rsidR="00693F1A" w:rsidRDefault="00915C69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>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0DDEA513" w:rsidR="00693F1A" w:rsidRDefault="00D53C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62ABC8A4" w:rsidR="00693F1A" w:rsidRDefault="000114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6F6AFB7D" w:rsidR="00693F1A" w:rsidRDefault="007768E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56BA9B49" w:rsidR="00693F1A" w:rsidRDefault="003245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0EE4EA59" w:rsidR="00693F1A" w:rsidRDefault="0032450F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1B639859" w:rsidR="00693F1A" w:rsidRDefault="00D53CF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0493A770" w:rsidR="00693F1A" w:rsidRDefault="00BB4273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D93CB61" w14:textId="245CF1D6" w:rsidR="0057562B" w:rsidRDefault="006276DC" w:rsidP="0057562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PREDAVANJE: dv. 240 srijedom 18 – 20</w:t>
            </w:r>
            <w:r w:rsidR="0057562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h </w:t>
            </w:r>
          </w:p>
          <w:p w14:paraId="0A9BAB01" w14:textId="0CD2AC36" w:rsidR="0057562B" w:rsidRDefault="006276DC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SEMINAR: dv. 240 srijedom 20</w:t>
            </w:r>
            <w:r w:rsidR="0057562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21</w:t>
            </w:r>
            <w:r w:rsidR="0057562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77222A02" w:rsidR="0057562B" w:rsidRDefault="006276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04. 10. 2022.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74B27D18" w:rsidR="0057562B" w:rsidRDefault="006276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27. 01. 2023.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7DD10A4E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doc. dr. sc. 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Vice Šunjić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2AF115FB" w:rsidR="0057562B" w:rsidRDefault="007768E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4B3923E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9BC9504" w14:textId="42AD7592" w:rsidR="008310DA" w:rsidRPr="00F92DDC" w:rsidRDefault="00180672" w:rsidP="00180672">
            <w:pPr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Nakon odslušanih predavanja studenti će moći:</w:t>
            </w:r>
          </w:p>
          <w:p w14:paraId="64DB3B37" w14:textId="2641F9C2" w:rsidR="00775389" w:rsidRPr="008310DA" w:rsidRDefault="00B84027" w:rsidP="008310DA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p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</w:rPr>
              <w:t>rimjereno primijeniti stečena znanja;</w:t>
            </w:r>
            <w:r w:rsidR="00180672" w:rsidRPr="008310DA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</w:p>
          <w:p w14:paraId="4B74F3B8" w14:textId="77777777" w:rsidR="008310DA" w:rsidRDefault="00775389" w:rsidP="008310DA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prepoznati govore Hrvata izvan Hrvatske i njihove osnovne karakteristike</w:t>
            </w:r>
            <w:r w:rsidR="008310DA">
              <w:rPr>
                <w:rFonts w:ascii="Merriweather" w:eastAsia="Merriweather" w:hAnsi="Merriweather" w:cs="Merriweather"/>
                <w:sz w:val="18"/>
                <w:szCs w:val="18"/>
              </w:rPr>
              <w:t>;</w:t>
            </w:r>
          </w:p>
          <w:p w14:paraId="1E51BD1D" w14:textId="60B6C92F" w:rsidR="0057562B" w:rsidRPr="008310DA" w:rsidRDefault="008310DA" w:rsidP="008310DA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8310DA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kritički se osvrnuti na otvorena pitanja na području Hrvata i hrvatskoga jezika izvan Hrvatske.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F80AC2" w14:textId="77777777" w:rsidR="00B84027" w:rsidRPr="0033612C" w:rsidRDefault="00B84027" w:rsidP="0033612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>Na razini studijskoga programa kolegij doprinosi osposobljavanju studenata za:</w:t>
            </w:r>
          </w:p>
          <w:p w14:paraId="4D0BD450" w14:textId="0E267B4D" w:rsidR="008310DA" w:rsidRPr="008310DA" w:rsidRDefault="008310DA" w:rsidP="008310DA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ovladavanje metajezikom struke;</w:t>
            </w:r>
          </w:p>
          <w:p w14:paraId="06AFD08E" w14:textId="0C61E787" w:rsidR="0057562B" w:rsidRPr="008310DA" w:rsidRDefault="008310DA" w:rsidP="008310DA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identificiranje i analiziranje uloge</w:t>
            </w:r>
            <w:r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 xml:space="preserve"> Hrvata i hrvatskoga jezika izvan Hrvatske</w:t>
            </w: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 xml:space="preserve"> u društvenim procesima.</w:t>
            </w: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9BB9575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748E11EA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55BE0A4A" w:rsidR="0057562B" w:rsidRPr="0033612C" w:rsidRDefault="00B84027" w:rsidP="0033612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>Obvezna prisutnost na minimalno 70% predavanja i seminara.</w:t>
            </w:r>
            <w:r w:rsidR="00785417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="006C59D3">
              <w:rPr>
                <w:rFonts w:ascii="Merriweather" w:eastAsia="Merriweather" w:hAnsi="Merriweather" w:cs="Merriweather"/>
                <w:sz w:val="18"/>
                <w:szCs w:val="18"/>
              </w:rPr>
              <w:t>Napisan i i</w:t>
            </w: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>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6AC52DFE" w:rsidR="0057562B" w:rsidRDefault="009C491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732256A9" w:rsidR="0057562B" w:rsidRDefault="009C491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06F22CE" w14:textId="639422C3" w:rsidR="00B84027" w:rsidRPr="00F92DDC" w:rsidRDefault="00B84027" w:rsidP="00BA49B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Cilj je kolegija upoznati studentice i studente s</w:t>
            </w:r>
            <w:r w:rsidR="00B72810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govorima</w:t>
            </w:r>
            <w:r w:rsidR="0013612A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="00095298">
              <w:rPr>
                <w:rFonts w:ascii="Merriweather" w:eastAsia="Merriweather" w:hAnsi="Merriweather" w:cs="Merriweather"/>
                <w:sz w:val="18"/>
                <w:szCs w:val="18"/>
              </w:rPr>
              <w:t>Hrvata izvan Hrvatske</w:t>
            </w:r>
            <w:r w:rsidR="00A624F7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</w:t>
            </w:r>
            <w:r w:rsidR="00095298">
              <w:rPr>
                <w:rFonts w:ascii="Merriweather" w:eastAsia="Merriweather" w:hAnsi="Merriweather" w:cs="Merriweather"/>
                <w:sz w:val="18"/>
                <w:szCs w:val="18"/>
              </w:rPr>
              <w:t>njihovim osnovnim karakteristikama</w:t>
            </w: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="00A624F7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Studenti će se upoznati s jezikom stare hrvatske dijaspore, što uključuje upoznavanje s </w:t>
            </w:r>
            <w:r w:rsidR="00BA49BF">
              <w:rPr>
                <w:rFonts w:ascii="Merriweather" w:eastAsia="Merriweather" w:hAnsi="Merriweather" w:cs="Merriweather"/>
                <w:sz w:val="18"/>
                <w:szCs w:val="18"/>
              </w:rPr>
              <w:t>gradišćanskohrvatskim</w:t>
            </w:r>
            <w:r w:rsidR="00A624F7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govorima, </w:t>
            </w:r>
            <w:r w:rsidR="00BA49BF">
              <w:rPr>
                <w:rFonts w:ascii="Merriweather" w:eastAsia="Merriweather" w:hAnsi="Merriweather" w:cs="Merriweather"/>
                <w:sz w:val="18"/>
                <w:szCs w:val="18"/>
              </w:rPr>
              <w:t>gradišćanskohrvatskim</w:t>
            </w:r>
            <w:r w:rsidR="00A624F7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književnim jezikom,</w:t>
            </w:r>
            <w:r w:rsidR="00E1009E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govorima moliških Hrvata,</w:t>
            </w:r>
            <w:r w:rsidR="00A624F7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hrvatskim govorima u Mađarskoj, hrvatskim bunjevačkim govorima, govorima Hrvata u Rumunjskoj i zapadnome Banatu, govorima janjevskih i letničkih Hrvata, govorima bokeljskih i srijemskih Hrvata te Hrvata u Makedoniji. </w:t>
            </w:r>
            <w:r w:rsidR="00BA49BF">
              <w:rPr>
                <w:rFonts w:ascii="Merriweather" w:eastAsia="Merriweather" w:hAnsi="Merriweather" w:cs="Merriweather"/>
                <w:sz w:val="18"/>
                <w:szCs w:val="18"/>
              </w:rPr>
              <w:t>Isto tako će se upoznati s očuvanošću hrvatskoga jezika u hrvatskom iseljeništvu, što uključuje očuvanost hrvatskoga jezika u Australiji i Novom Zelandu, Sjevernoj Americi, Južnoj Americi, Južnoafričkoj Republici</w:t>
            </w:r>
            <w:r w:rsidR="008310DA">
              <w:rPr>
                <w:rFonts w:ascii="Merriweather" w:eastAsia="Merriweather" w:hAnsi="Merriweather" w:cs="Merriweather"/>
                <w:sz w:val="18"/>
                <w:szCs w:val="18"/>
              </w:rPr>
              <w:t>, Aziji</w:t>
            </w:r>
            <w:r w:rsidR="00BA49B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 Europi.</w:t>
            </w:r>
            <w:r w:rsidR="00A624F7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="008310DA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Posebno će se istaknuti doprinos izvandomovinske jezikoslovne kroatistike i hrvatskih kroatista izvan Hrvatske u proučavanju hrvatskoga književnog jezika u 20. stoljeću. </w:t>
            </w:r>
            <w:r w:rsidR="00A624F7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</w:p>
          <w:p w14:paraId="409B5EF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0B6E7C6" w14:textId="776B9128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1. </w:t>
            </w:r>
            <w:r w:rsidR="008E50F4">
              <w:rPr>
                <w:rFonts w:ascii="Merriweather" w:eastAsia="Merriweather" w:hAnsi="Merriweather" w:cs="Merriweather"/>
                <w:sz w:val="18"/>
                <w:szCs w:val="18"/>
              </w:rPr>
              <w:t>Iseljavanje</w:t>
            </w: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 </w:t>
            </w:r>
          </w:p>
          <w:p w14:paraId="33E69B2E" w14:textId="154C0AA8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2. </w:t>
            </w:r>
            <w:r w:rsidR="00BA49BF">
              <w:rPr>
                <w:rFonts w:ascii="Merriweather" w:eastAsia="Merriweather" w:hAnsi="Merriweather" w:cs="Merriweather"/>
                <w:sz w:val="18"/>
                <w:szCs w:val="18"/>
              </w:rPr>
              <w:t>Hrvatski jezik izvan Hrvats</w:t>
            </w:r>
            <w:r w:rsidR="00E1009E">
              <w:rPr>
                <w:rFonts w:ascii="Merriweather" w:eastAsia="Merriweather" w:hAnsi="Merriweather" w:cs="Merriweather"/>
                <w:sz w:val="18"/>
                <w:szCs w:val="18"/>
              </w:rPr>
              <w:t>ke u staroj i novoj dijaspori</w:t>
            </w:r>
          </w:p>
          <w:p w14:paraId="3CD096F3" w14:textId="172B8810" w:rsidR="0018117A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3. </w:t>
            </w:r>
            <w:r w:rsidR="00BA49BF">
              <w:rPr>
                <w:rFonts w:ascii="Merriweather" w:eastAsia="Merriweather" w:hAnsi="Merriweather" w:cs="Merriweather"/>
                <w:sz w:val="18"/>
                <w:szCs w:val="18"/>
              </w:rPr>
              <w:t>Hrvatski jezik u staroj dijaspori 1.</w:t>
            </w:r>
          </w:p>
          <w:p w14:paraId="02B0868A" w14:textId="71D4A871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4. </w:t>
            </w:r>
            <w:r w:rsidR="00BA49BF">
              <w:rPr>
                <w:rFonts w:ascii="Merriweather" w:eastAsia="Merriweather" w:hAnsi="Merriweather" w:cs="Merriweather"/>
                <w:sz w:val="18"/>
                <w:szCs w:val="18"/>
              </w:rPr>
              <w:t>Hrvatski jezik u staroj dijaspori 2.</w:t>
            </w:r>
          </w:p>
          <w:p w14:paraId="4926141B" w14:textId="411B66D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5. </w:t>
            </w:r>
            <w:r w:rsidR="00BA49BF">
              <w:rPr>
                <w:rFonts w:ascii="Merriweather" w:eastAsia="Merriweather" w:hAnsi="Merriweather" w:cs="Merriweather"/>
                <w:sz w:val="18"/>
                <w:szCs w:val="18"/>
              </w:rPr>
              <w:t>Hrvatski jezik u staroj dijaspori 3.</w:t>
            </w:r>
          </w:p>
          <w:p w14:paraId="54DE1D96" w14:textId="2F1049B0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6. </w:t>
            </w:r>
            <w:r w:rsidR="00E1009E">
              <w:rPr>
                <w:rFonts w:ascii="Merriweather" w:eastAsia="Merriweather" w:hAnsi="Merriweather" w:cs="Merriweather"/>
                <w:sz w:val="18"/>
                <w:szCs w:val="18"/>
              </w:rPr>
              <w:t>Očuvanost hrvatskoga jezika u Australiji i Novom Zelandu</w:t>
            </w:r>
          </w:p>
          <w:p w14:paraId="6821E2CD" w14:textId="7730D208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7. </w:t>
            </w:r>
            <w:r w:rsidR="00E1009E">
              <w:rPr>
                <w:rFonts w:ascii="Merriweather" w:eastAsia="Merriweather" w:hAnsi="Merriweather" w:cs="Merriweather"/>
                <w:sz w:val="18"/>
                <w:szCs w:val="18"/>
              </w:rPr>
              <w:t>Očuvanost hrvatskoga jezika u Sjevernoj Americi</w:t>
            </w:r>
          </w:p>
          <w:p w14:paraId="7706AE1B" w14:textId="1F309D2D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8. </w:t>
            </w:r>
            <w:r w:rsidR="00E1009E">
              <w:rPr>
                <w:rFonts w:ascii="Merriweather" w:eastAsia="Merriweather" w:hAnsi="Merriweather" w:cs="Merriweather"/>
                <w:sz w:val="18"/>
                <w:szCs w:val="18"/>
              </w:rPr>
              <w:t>Očuvanost  hrvatskoga jezika u Južnoj Americi</w:t>
            </w:r>
          </w:p>
          <w:p w14:paraId="565247A1" w14:textId="6614DC69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9. </w:t>
            </w:r>
            <w:r w:rsidR="00E1009E">
              <w:rPr>
                <w:rFonts w:ascii="Merriweather" w:eastAsia="Merriweather" w:hAnsi="Merriweather" w:cs="Merriweather"/>
                <w:sz w:val="18"/>
                <w:szCs w:val="18"/>
              </w:rPr>
              <w:t>Očuvanost hrvatskoga jezika u Južnoafričkoj Republici</w:t>
            </w:r>
          </w:p>
          <w:p w14:paraId="2D92D537" w14:textId="4D96422E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10. </w:t>
            </w:r>
            <w:r w:rsidR="00E1009E">
              <w:rPr>
                <w:rFonts w:ascii="Merriweather" w:eastAsia="Merriweather" w:hAnsi="Merriweather" w:cs="Merriweather"/>
                <w:sz w:val="18"/>
                <w:szCs w:val="18"/>
              </w:rPr>
              <w:t>Očuvanost hrvatskoga jezika u Europi</w:t>
            </w:r>
          </w:p>
          <w:p w14:paraId="750A5DC4" w14:textId="6EA5E478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11</w:t>
            </w:r>
            <w:r w:rsidR="00977E00">
              <w:rPr>
                <w:rFonts w:ascii="Merriweather" w:eastAsia="Merriweather" w:hAnsi="Merriweather" w:cs="Merriweather"/>
                <w:sz w:val="18"/>
                <w:szCs w:val="18"/>
              </w:rPr>
              <w:t>. Tragom hrvatskoga jezika u Aziji</w:t>
            </w:r>
          </w:p>
          <w:p w14:paraId="29BC30A6" w14:textId="1667174A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12. </w:t>
            </w:r>
            <w:r w:rsidR="008310DA">
              <w:rPr>
                <w:rFonts w:ascii="Merriweather" w:eastAsia="Merriweather" w:hAnsi="Merriweather" w:cs="Merriweather"/>
                <w:sz w:val="18"/>
                <w:szCs w:val="18"/>
              </w:rPr>
              <w:t>Doprinos izvandomovinske jezikoslovne kroatistike u proučavanju hrvatskoga književnoga jezika u 20. stoljeću</w:t>
            </w:r>
          </w:p>
          <w:p w14:paraId="33A3214E" w14:textId="77B1B53D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13</w:t>
            </w:r>
            <w:r w:rsidR="008310DA">
              <w:rPr>
                <w:rFonts w:ascii="Merriweather" w:eastAsia="Merriweather" w:hAnsi="Merriweather" w:cs="Merriweather"/>
                <w:sz w:val="18"/>
                <w:szCs w:val="18"/>
              </w:rPr>
              <w:t>. Djelovanje i doprinos hrvatskih kroatista izvan Hrvatske u proučavanju hrvatskoga književnoga jezika u 20. stoljeću</w:t>
            </w:r>
          </w:p>
          <w:p w14:paraId="14416E60" w14:textId="697FF653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14. </w:t>
            </w:r>
            <w:r w:rsidR="00854983">
              <w:rPr>
                <w:rFonts w:ascii="Merriweather" w:eastAsia="Merriweather" w:hAnsi="Merriweather" w:cs="Merriweather"/>
                <w:sz w:val="18"/>
                <w:szCs w:val="18"/>
              </w:rPr>
              <w:t>Pogled na hrvatski jezik i hrvatske kroatiste izvan Hrvatske u 21. stoljeću</w:t>
            </w:r>
          </w:p>
          <w:p w14:paraId="2D3425D4" w14:textId="10512139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15.  </w:t>
            </w:r>
            <w:r w:rsidR="00E1009E">
              <w:rPr>
                <w:rFonts w:ascii="Merriweather" w:eastAsia="Merriweather" w:hAnsi="Merriweather" w:cs="Merriweather"/>
                <w:sz w:val="18"/>
                <w:szCs w:val="18"/>
              </w:rPr>
              <w:t>Sinteza</w:t>
            </w:r>
          </w:p>
          <w:p w14:paraId="46C4A8CA" w14:textId="736F791E" w:rsidR="0057562B" w:rsidRPr="00B84027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BB594C8" w14:textId="6D3A80C4" w:rsidR="00E766FE" w:rsidRDefault="00E766FE" w:rsidP="00E766FE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Barić, Ernest. 2006. </w:t>
            </w:r>
            <w:r w:rsidRPr="00FD6458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Rode, a jezik?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Pečuh: Znanstveni zavod Hrvata u Mađarskoj.</w:t>
            </w:r>
          </w:p>
          <w:p w14:paraId="496A0A55" w14:textId="786AD151" w:rsidR="00E766FE" w:rsidRDefault="00E766FE" w:rsidP="00E766FE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Čizmić, Ivan; Sopta, Marin; Šakić, Vlado. 2005. </w:t>
            </w:r>
            <w:r w:rsidRPr="008E50F4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Iseljena Hrvatska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Zagreb: Golden marketing – Tehnička knjiga.</w:t>
            </w:r>
          </w:p>
          <w:p w14:paraId="4181B10C" w14:textId="3D1D0A97" w:rsidR="00E766FE" w:rsidRDefault="00E766FE" w:rsidP="00E766FE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Đurović, Radoslav J. 2000. </w:t>
            </w:r>
            <w:r w:rsidRPr="00BF2BE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Letnički govorni tip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Vranje.</w:t>
            </w:r>
          </w:p>
          <w:p w14:paraId="4E2A1E28" w14:textId="7BBEDFF3" w:rsidR="00E766FE" w:rsidRDefault="00E766FE" w:rsidP="00E766FE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Krpan, Stjepan. 1988. </w:t>
            </w:r>
            <w:r w:rsidRPr="00FD6458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Od Karaš</w:t>
            </w:r>
            <w:r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</w:t>
            </w:r>
            <w:r w:rsidRPr="00FD6458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do Biferna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Zagreb: Kršćanska sadašnjost.</w:t>
            </w:r>
          </w:p>
          <w:p w14:paraId="64A26C34" w14:textId="18708043" w:rsidR="00715B6B" w:rsidRDefault="00715B6B" w:rsidP="00E766FE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Lisac, Josip. 2009. </w:t>
            </w:r>
            <w:r w:rsidRPr="00CB063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Hrvatska dijalektologija 2. Čakavsko narječje</w:t>
            </w:r>
            <w:r w:rsidR="00CB0639">
              <w:rPr>
                <w:rFonts w:ascii="Merriweather" w:eastAsia="Merriweather" w:hAnsi="Merriweather" w:cs="Merriweather"/>
                <w:sz w:val="18"/>
                <w:szCs w:val="18"/>
              </w:rPr>
              <w:t>. Zagreb: Golden marketing – Tehnička knjiga.</w:t>
            </w:r>
          </w:p>
          <w:p w14:paraId="2EF548C2" w14:textId="2B3EB5B4" w:rsidR="00CB0639" w:rsidRDefault="00CB0639" w:rsidP="00E766FE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Lisac, Josip. 2011. Hrvatska narječja. </w:t>
            </w:r>
            <w:r w:rsidRPr="00CB063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Povijest hrvatskoga jezika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CB063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2. knjiga: 16. stoljeće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glavni ur. Ante Bičanić. Zagreb: Croatica, 51–75. </w:t>
            </w:r>
          </w:p>
          <w:p w14:paraId="500E8B8D" w14:textId="05411D35" w:rsidR="00E766FE" w:rsidRDefault="00E766FE" w:rsidP="00E766FE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 xml:space="preserve">Pavlović, Milivoje. 1970. </w:t>
            </w:r>
            <w:r w:rsidRPr="00BF2BE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Govor Janjeva. Međudijalekatski i miksoglotski procesi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Novi Sad. </w:t>
            </w:r>
          </w:p>
          <w:p w14:paraId="56B19A4E" w14:textId="6BBEC451" w:rsidR="00E766FE" w:rsidRDefault="00E766FE" w:rsidP="00E766FE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Sekulić,</w:t>
            </w:r>
            <w:r w:rsidR="00CA6D98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Ante, 1998. </w:t>
            </w:r>
            <w:r w:rsidRPr="00FD6458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o jeziku bačkih Hrvata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Zagreb: Matica hrvatska.</w:t>
            </w:r>
          </w:p>
          <w:p w14:paraId="0AC75286" w14:textId="4F0E3CD4" w:rsidR="00E766FE" w:rsidRDefault="00E766FE" w:rsidP="00CA6D98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766FE">
              <w:rPr>
                <w:rFonts w:ascii="Merriweather" w:eastAsia="Merriweather" w:hAnsi="Merriweather" w:cs="Merriweather"/>
                <w:sz w:val="18"/>
                <w:szCs w:val="18"/>
              </w:rPr>
              <w:t>Neweklowsky, Gerhard</w:t>
            </w:r>
            <w:r w:rsidR="00CA6D98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E766FE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1995</w:t>
            </w:r>
            <w:r w:rsidR="00CA6D98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E766FE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Hrvatska narječja u Gradišću i susjednim krajevima. </w:t>
            </w:r>
            <w:r w:rsidR="00CA6D98" w:rsidRPr="000F2D9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U: </w:t>
            </w:r>
            <w:r w:rsidR="00CA6D98">
              <w:rPr>
                <w:rFonts w:ascii="Merriweather" w:eastAsia="Merriweather" w:hAnsi="Merriweather" w:cs="Merriweather"/>
                <w:sz w:val="18"/>
                <w:szCs w:val="18"/>
              </w:rPr>
              <w:t>I</w:t>
            </w:r>
            <w:r w:rsidR="00CA6D98" w:rsidRPr="000F2D9F">
              <w:rPr>
                <w:rFonts w:ascii="Merriweather" w:eastAsia="Merriweather" w:hAnsi="Merriweather" w:cs="Merriweather"/>
                <w:sz w:val="18"/>
                <w:szCs w:val="18"/>
              </w:rPr>
              <w:t>. K</w:t>
            </w:r>
            <w:r w:rsidR="00CA6D98">
              <w:rPr>
                <w:rFonts w:ascii="Merriweather" w:eastAsia="Merriweather" w:hAnsi="Merriweather" w:cs="Merriweather"/>
                <w:sz w:val="18"/>
                <w:szCs w:val="18"/>
              </w:rPr>
              <w:t>ampuš</w:t>
            </w:r>
            <w:r w:rsidR="00CA6D98" w:rsidRPr="000F2D9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(ur.), </w:t>
            </w:r>
            <w:r w:rsidRPr="00CA6D98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Povijest i kultura gradišćanskih Hrvata</w:t>
            </w:r>
            <w:r w:rsidRPr="00E766FE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="00CA6D98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Zagreb: Nakladni zavod Globus.</w:t>
            </w:r>
          </w:p>
          <w:p w14:paraId="7040630F" w14:textId="2ECADBA4" w:rsidR="00CB0639" w:rsidRPr="00CA6D98" w:rsidRDefault="00CB0639" w:rsidP="00CA6D98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Vulić, Sanja 2019. Hrvatski jezik izvan Hrvatske u staroj i novoj dijaspori u 20. stoljeću. </w:t>
            </w:r>
            <w:r w:rsidRPr="00CB063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Povijest hrvatskoga jezika. 6. knjiga: 20 stoljeće</w:t>
            </w:r>
            <w:r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– drugi dio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, glavni ur. Ante Bičanić. Zagreb: Croatica, 405–461.</w:t>
            </w:r>
          </w:p>
          <w:p w14:paraId="4EAEF11D" w14:textId="630598EC" w:rsidR="0057562B" w:rsidRPr="00CA6D98" w:rsidRDefault="00254055" w:rsidP="00CA6D98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Vulić, Sanja 2021</w:t>
            </w:r>
            <w:r w:rsidR="009E637F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8E50F4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Blago rasutih : jezik Hrvata u dijaspori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Split: Književni krug Split.</w:t>
            </w: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1DB1595" w14:textId="64D18A13" w:rsidR="006F36C6" w:rsidRDefault="00DF1BBC" w:rsidP="00254055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Antić, Ljubomir</w:t>
            </w:r>
            <w:r w:rsidR="00CA6D98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2002</w:t>
            </w:r>
            <w:r w:rsidR="00CA6D98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DF1BB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Hrvati i Amerika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Hrvatska sveučilišna naklada, </w:t>
            </w:r>
            <w:r w:rsidR="00C44CFC">
              <w:rPr>
                <w:rFonts w:ascii="Merriweather" w:eastAsia="Merriweather" w:hAnsi="Merriweather" w:cs="Merriweather"/>
                <w:sz w:val="18"/>
                <w:szCs w:val="18"/>
              </w:rPr>
              <w:t>H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rvatska matica iseljenika.</w:t>
            </w:r>
          </w:p>
          <w:p w14:paraId="1895ED55" w14:textId="52961056" w:rsidR="0041533D" w:rsidRDefault="0041533D" w:rsidP="0041533D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Balaž, Joško. 1991. </w:t>
            </w:r>
            <w:r w:rsidRPr="000679DD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dialekt u Devinskom Nuovom Selu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Nuovo Selo.</w:t>
            </w:r>
          </w:p>
          <w:p w14:paraId="61FD9E76" w14:textId="00ABC5BD" w:rsidR="002203D9" w:rsidRDefault="002203D9" w:rsidP="0041533D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Bara, Mario. 2009. Pregled povijesti Hrvata u Vojvodini. U: M. Bara i T. Žigmanov (ur.), </w:t>
            </w:r>
            <w:r w:rsidRPr="002203D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Hrvati u Vojvodini povijesti i sadašnjosti – osnovne činjenice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Subotica: Zavod za kulturu vojvođanskih Hrvata, 11–50. </w:t>
            </w:r>
          </w:p>
          <w:p w14:paraId="58CD908B" w14:textId="6A287542" w:rsidR="002203D9" w:rsidRDefault="002203D9" w:rsidP="0041533D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Bara, Mario. 2011. Prešućeni karaševski Hrvati: Hrvati u vojvođanskom dijelu Banata. </w:t>
            </w:r>
            <w:r w:rsidRPr="002203D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Godišnjak za znanstvena istraživanja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, 3. Subotica, 57–84.</w:t>
            </w:r>
          </w:p>
          <w:p w14:paraId="16E5BF94" w14:textId="77777777" w:rsidR="0041533D" w:rsidRDefault="0041533D" w:rsidP="0041533D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Kampuš, Ivan (gl. ur.). 1995. </w:t>
            </w:r>
            <w:r w:rsidRPr="000679DD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Povijest i kultura gradišćanskih Hrvata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Zagreb: Nakladni zavod Globus.</w:t>
            </w:r>
          </w:p>
          <w:p w14:paraId="3E5FA6C1" w14:textId="77777777" w:rsidR="0041533D" w:rsidRPr="00254055" w:rsidRDefault="0041533D" w:rsidP="0041533D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Krpan, Stjepan. 1992. </w:t>
            </w:r>
            <w:r w:rsidRPr="00715B6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Portreti rumunjskih Hrvata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Zagreb: hrvatski sabor kulture.</w:t>
            </w:r>
          </w:p>
          <w:p w14:paraId="1E1ADF9E" w14:textId="77777777" w:rsidR="0041533D" w:rsidRDefault="0041533D" w:rsidP="0041533D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Pavličević, Dragutin. 1995. </w:t>
            </w:r>
            <w:r w:rsidRPr="000679DD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Moravski Hrvati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Zagreb: Hrvatska sveučilišna naklada.</w:t>
            </w:r>
          </w:p>
          <w:p w14:paraId="37FF9E72" w14:textId="77777777" w:rsidR="0041533D" w:rsidRDefault="0041533D" w:rsidP="0041533D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Pekić, Petar. 1930. </w:t>
            </w:r>
            <w:r w:rsidRPr="000679DD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Povijest Hrvata u Vojvodini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Zagreb: Matica hrvatska.</w:t>
            </w:r>
          </w:p>
          <w:p w14:paraId="55AAE812" w14:textId="5BF83071" w:rsidR="0041533D" w:rsidRPr="0041533D" w:rsidRDefault="0041533D" w:rsidP="0041533D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Sekulić, Ante. 1990. </w:t>
            </w:r>
            <w:r w:rsidRPr="000679DD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Bački Bunjevci i Šokci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Školska knjiga. </w:t>
            </w:r>
          </w:p>
          <w:p w14:paraId="6D8B16C7" w14:textId="47786E9A" w:rsidR="00DF1BBC" w:rsidRDefault="00DF1BBC" w:rsidP="00254055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Šunjić, Vice</w:t>
            </w:r>
            <w:r w:rsidR="00CA6D98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2017</w:t>
            </w:r>
            <w:r w:rsidR="00CA6D98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0679DD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jezik kao tema izvandomovinske kulture (1945. – 1990.)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Doktorska disertacija, Filozofski fakultet Sveučilišta u Zagrebu.</w:t>
            </w:r>
          </w:p>
          <w:p w14:paraId="7237E0C9" w14:textId="3FFBF593" w:rsidR="00295511" w:rsidRDefault="00295511" w:rsidP="00254055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Vulić, Sanja. 2000. </w:t>
            </w:r>
            <w:r w:rsidRPr="0029551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tisak u dijaspori. Korabljica 7.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Zagreb: Sekcija Društva hrvatskih književnika za proučavanje književnosti u hrvatskom iseljeništvu.</w:t>
            </w:r>
          </w:p>
          <w:p w14:paraId="3233D6C9" w14:textId="77777777" w:rsidR="0057562B" w:rsidRDefault="0057562B" w:rsidP="0041533D">
            <w:pPr>
              <w:spacing w:before="40" w:after="40" w:line="276" w:lineRule="auto"/>
              <w:ind w:left="7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FF56C36" w14:textId="5E057CC9" w:rsidR="0057562B" w:rsidRPr="00C325CC" w:rsidRDefault="00C325CC" w:rsidP="00C325CC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325CC">
              <w:rPr>
                <w:rFonts w:ascii="Merriweather" w:eastAsia="Merriweather" w:hAnsi="Merriweather" w:cs="Merriweather"/>
                <w:sz w:val="18"/>
                <w:szCs w:val="18"/>
              </w:rPr>
              <w:t>https://www.pilar.hr/wp-content/uploads/2020/10/Leksikon_hrvatskoga_iseljenistva_i_manjina_full.pdf</w:t>
            </w:r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63E5ADA8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0 – 50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5C5F2762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51 – 62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4D02816E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63 – 78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7A611618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79 – 90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4014C07D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91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4BD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93E3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[…] </w:t>
            </w:r>
          </w:p>
          <w:p w14:paraId="117C8EB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27B479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76282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5F0025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>
              <w:r>
                <w:rPr>
                  <w:rFonts w:ascii="Merriweather" w:eastAsia="Merriweather" w:hAnsi="Merriweather" w:cs="Merriweather"/>
                  <w:i/>
                  <w:color w:val="000000"/>
                  <w:sz w:val="18"/>
                  <w:szCs w:val="18"/>
                  <w:u w:val="single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39796A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597B81F2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3515B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U kolegiju se koristi Merlin, sustav za e-učenje, pa su studentima/cama potrebni AAI računi.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3A3E" w14:textId="77777777" w:rsidR="00A357D6" w:rsidRDefault="00B360C4">
      <w:pPr>
        <w:spacing w:before="0" w:after="0"/>
      </w:pPr>
      <w:r>
        <w:separator/>
      </w:r>
    </w:p>
  </w:endnote>
  <w:endnote w:type="continuationSeparator" w:id="0">
    <w:p w14:paraId="73FA0539" w14:textId="77777777" w:rsidR="00A357D6" w:rsidRDefault="00B36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3DC2" w14:textId="77777777" w:rsidR="00A357D6" w:rsidRDefault="00B360C4">
      <w:pPr>
        <w:spacing w:before="0" w:after="0"/>
      </w:pPr>
      <w:r>
        <w:separator/>
      </w:r>
    </w:p>
  </w:footnote>
  <w:footnote w:type="continuationSeparator" w:id="0">
    <w:p w14:paraId="16BD8BA4" w14:textId="77777777" w:rsidR="00A357D6" w:rsidRDefault="00B360C4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79745E" w:rsidRDefault="00B360C4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r>
      <w:rPr>
        <w:rFonts w:ascii="Merriweather" w:eastAsia="Merriweather" w:hAnsi="Merriweather" w:cs="Merriweather"/>
        <w:i/>
        <w:sz w:val="18"/>
        <w:szCs w:val="18"/>
      </w:rPr>
      <w:t>syllabus</w:t>
    </w:r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257"/>
    <w:multiLevelType w:val="hybridMultilevel"/>
    <w:tmpl w:val="11CAE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016F0"/>
    <w:multiLevelType w:val="hybridMultilevel"/>
    <w:tmpl w:val="4F5A87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75427">
    <w:abstractNumId w:val="3"/>
  </w:num>
  <w:num w:numId="2" w16cid:durableId="89198936">
    <w:abstractNumId w:val="4"/>
  </w:num>
  <w:num w:numId="3" w16cid:durableId="425425470">
    <w:abstractNumId w:val="1"/>
  </w:num>
  <w:num w:numId="4" w16cid:durableId="1877040083">
    <w:abstractNumId w:val="2"/>
  </w:num>
  <w:num w:numId="5" w16cid:durableId="130523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01148F"/>
    <w:rsid w:val="0006497E"/>
    <w:rsid w:val="000679DD"/>
    <w:rsid w:val="00095298"/>
    <w:rsid w:val="0013612A"/>
    <w:rsid w:val="0017389A"/>
    <w:rsid w:val="00180672"/>
    <w:rsid w:val="0018117A"/>
    <w:rsid w:val="002203D9"/>
    <w:rsid w:val="00254055"/>
    <w:rsid w:val="00295511"/>
    <w:rsid w:val="002B1A6F"/>
    <w:rsid w:val="002D77AD"/>
    <w:rsid w:val="0032450F"/>
    <w:rsid w:val="0033612C"/>
    <w:rsid w:val="003F30B5"/>
    <w:rsid w:val="00413FA8"/>
    <w:rsid w:val="0041533D"/>
    <w:rsid w:val="0057562B"/>
    <w:rsid w:val="0061376D"/>
    <w:rsid w:val="006276DC"/>
    <w:rsid w:val="00645005"/>
    <w:rsid w:val="00693F1A"/>
    <w:rsid w:val="006C59D3"/>
    <w:rsid w:val="006F36C6"/>
    <w:rsid w:val="00715B6B"/>
    <w:rsid w:val="00775389"/>
    <w:rsid w:val="007768E2"/>
    <w:rsid w:val="007807DC"/>
    <w:rsid w:val="00785417"/>
    <w:rsid w:val="008310DA"/>
    <w:rsid w:val="00854983"/>
    <w:rsid w:val="008E50F4"/>
    <w:rsid w:val="00915C69"/>
    <w:rsid w:val="00977E00"/>
    <w:rsid w:val="009C4912"/>
    <w:rsid w:val="009E637F"/>
    <w:rsid w:val="00A21EBD"/>
    <w:rsid w:val="00A357D6"/>
    <w:rsid w:val="00A624F7"/>
    <w:rsid w:val="00B360C4"/>
    <w:rsid w:val="00B72810"/>
    <w:rsid w:val="00B84027"/>
    <w:rsid w:val="00BA49BF"/>
    <w:rsid w:val="00BB4273"/>
    <w:rsid w:val="00BE55A5"/>
    <w:rsid w:val="00BF2BEF"/>
    <w:rsid w:val="00C10B2E"/>
    <w:rsid w:val="00C325CC"/>
    <w:rsid w:val="00C44CFC"/>
    <w:rsid w:val="00CA6D98"/>
    <w:rsid w:val="00CB0639"/>
    <w:rsid w:val="00D53CFB"/>
    <w:rsid w:val="00DF006F"/>
    <w:rsid w:val="00DF1BBC"/>
    <w:rsid w:val="00E0324A"/>
    <w:rsid w:val="00E1009E"/>
    <w:rsid w:val="00E766FE"/>
    <w:rsid w:val="00F07702"/>
    <w:rsid w:val="00F47BF9"/>
    <w:rsid w:val="00F92DDC"/>
    <w:rsid w:val="00FD6458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150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75389"/>
    <w:pPr>
      <w:tabs>
        <w:tab w:val="center" w:pos="4513"/>
        <w:tab w:val="right" w:pos="9026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75389"/>
  </w:style>
  <w:style w:type="paragraph" w:styleId="Podnoje">
    <w:name w:val="footer"/>
    <w:basedOn w:val="Normal"/>
    <w:link w:val="PodnojeChar"/>
    <w:uiPriority w:val="99"/>
    <w:unhideWhenUsed/>
    <w:rsid w:val="00775389"/>
    <w:pPr>
      <w:tabs>
        <w:tab w:val="center" w:pos="4513"/>
        <w:tab w:val="right" w:pos="9026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77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 Šunjić</cp:lastModifiedBy>
  <cp:revision>3</cp:revision>
  <dcterms:created xsi:type="dcterms:W3CDTF">2023-03-22T08:46:00Z</dcterms:created>
  <dcterms:modified xsi:type="dcterms:W3CDTF">2023-03-22T08:53:00Z</dcterms:modified>
</cp:coreProperties>
</file>