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2240899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/>
          </w:tblPr>
          <w:tblGrid>
            <w:gridCol w:w="2990"/>
            <w:gridCol w:w="7320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5912DD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0452A9"/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0452A9" w:rsidP="00AE23AA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5912DD" w:rsidP="00BB7EA1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A3589D" w:rsidRPr="00A3589D">
                      <w:t xml:space="preserve">3. GODINA – studija za Rani i predškolski odgoj i obrazovanje </w:t>
                    </w:r>
                    <w:r w:rsidR="00A3589D">
                      <w:t xml:space="preserve">         </w:t>
                    </w:r>
                    <w:r w:rsidR="00A3589D" w:rsidRPr="00A3589D">
                      <w:t xml:space="preserve">- </w:t>
                    </w:r>
                    <w:r w:rsidR="00582D89">
                      <w:t>5</w:t>
                    </w:r>
                    <w:r w:rsidR="00A3589D" w:rsidRPr="00A3589D">
                      <w:t>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hr-HR" w:eastAsia="hr-HR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1905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izobrazbu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učitelja</w:t>
                </w:r>
                <w:r w:rsidR="00E00280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I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5912DD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0452A9" w:rsidRDefault="00582D89">
          <w:pPr>
            <w:pStyle w:val="Subtitle"/>
          </w:pPr>
          <w:r>
            <w:rPr>
              <w:lang w:val="hr-HR"/>
            </w:rPr>
            <w:t>3. GODINA – studija za Rani i predškolski odgoj i obrazovanje          - 5. semestar</w:t>
          </w:r>
        </w:p>
      </w:sdtContent>
    </w:sdt>
    <w:p w:rsidR="00C04A47" w:rsidRPr="000A205D" w:rsidRDefault="00C04A47" w:rsidP="00C04A47">
      <w:pPr>
        <w:rPr>
          <w:b/>
          <w:sz w:val="28"/>
        </w:rPr>
      </w:pPr>
    </w:p>
    <w:p w:rsidR="00C04A47" w:rsidRDefault="00C04A47" w:rsidP="00C04A47"/>
    <w:p w:rsidR="00417DA8" w:rsidRDefault="00E00280" w:rsidP="00C04A47">
      <w:r>
        <w:rPr>
          <w:b/>
        </w:rPr>
        <w:t>Vodite ljstudijske grupe</w:t>
      </w:r>
      <w:r w:rsidR="00417DA8">
        <w:t xml:space="preserve">: </w:t>
      </w:r>
    </w:p>
    <w:p w:rsidR="00417DA8" w:rsidRDefault="00E00280" w:rsidP="00C04A47">
      <w:r>
        <w:t>Josip Ci</w:t>
      </w:r>
      <w:r w:rsidR="00A3589D">
        <w:t>n</w:t>
      </w:r>
      <w:r>
        <w:t>drić</w:t>
      </w:r>
    </w:p>
    <w:p w:rsidR="00417DA8" w:rsidRDefault="00E00280" w:rsidP="00C04A47">
      <w:r>
        <w:t>ured 4</w:t>
      </w:r>
      <w:r w:rsidR="00417DA8">
        <w:t>, prizemlje</w:t>
      </w:r>
    </w:p>
    <w:p w:rsidR="00417DA8" w:rsidRDefault="00417DA8" w:rsidP="00C04A47">
      <w:r>
        <w:t>termini</w:t>
      </w:r>
      <w:r w:rsidR="00E00280">
        <w:t xml:space="preserve"> </w:t>
      </w:r>
      <w:r>
        <w:t>mjesečnih</w:t>
      </w:r>
      <w:r w:rsidR="00E00280">
        <w:t xml:space="preserve"> </w:t>
      </w:r>
      <w:r>
        <w:t xml:space="preserve">sastanaka : </w:t>
      </w:r>
    </w:p>
    <w:p w:rsidR="00417DA8" w:rsidRDefault="00417DA8" w:rsidP="00C04A47">
      <w:r>
        <w:tab/>
      </w:r>
      <w:r>
        <w:tab/>
      </w:r>
      <w:r>
        <w:tab/>
      </w:r>
      <w:r>
        <w:tab/>
        <w:t>individualne</w:t>
      </w:r>
      <w:r w:rsidR="00E00280">
        <w:t xml:space="preserve"> konzultacije</w:t>
      </w:r>
    </w:p>
    <w:p w:rsidR="00E00280" w:rsidRDefault="00E00280" w:rsidP="00C04A47"/>
    <w:p w:rsidR="00E00280" w:rsidRDefault="00E00280" w:rsidP="00C04A47">
      <w:r>
        <w:t xml:space="preserve">utorkom I četvrtkom 12-13 h </w:t>
      </w:r>
    </w:p>
    <w:p w:rsidR="00417DA8" w:rsidRDefault="00417DA8" w:rsidP="00C04A47">
      <w:r>
        <w:t xml:space="preserve">kontakti:  </w:t>
      </w:r>
      <w:hyperlink r:id="rId12" w:history="1">
        <w:r w:rsidR="00582D89" w:rsidRPr="00373E36">
          <w:rPr>
            <w:rStyle w:val="Hyperlink"/>
          </w:rPr>
          <w:t>jcindric@unizd.hr</w:t>
        </w:r>
      </w:hyperlink>
      <w:r w:rsidR="00582D89">
        <w:t xml:space="preserve">    </w:t>
      </w:r>
    </w:p>
    <w:p w:rsidR="00417DA8" w:rsidRDefault="00417DA8" w:rsidP="00C04A47"/>
    <w:p w:rsidR="00417DA8" w:rsidRDefault="00417DA8" w:rsidP="00C04A47">
      <w:r>
        <w:t>Voditelj</w:t>
      </w:r>
      <w:r w:rsidR="00E00280">
        <w:t xml:space="preserve"> </w:t>
      </w:r>
      <w:r>
        <w:t>studijske</w:t>
      </w:r>
      <w:r w:rsidR="00E00280">
        <w:t xml:space="preserve"> </w:t>
      </w:r>
      <w:r>
        <w:t>grupe</w:t>
      </w:r>
      <w:r w:rsidR="00E00280">
        <w:t xml:space="preserve"> </w:t>
      </w:r>
      <w:r>
        <w:t>jednommjesečno</w:t>
      </w:r>
      <w:r w:rsidR="00E00280">
        <w:t xml:space="preserve"> </w:t>
      </w:r>
      <w:r>
        <w:t>sastaje se sa</w:t>
      </w:r>
      <w:r w:rsidR="00E00280">
        <w:t xml:space="preserve"> </w:t>
      </w:r>
      <w:r>
        <w:t>studentima</w:t>
      </w:r>
      <w:r w:rsidR="00E00280">
        <w:t xml:space="preserve"> </w:t>
      </w:r>
      <w:r>
        <w:t>radi</w:t>
      </w:r>
      <w:r w:rsidR="00E00280">
        <w:t xml:space="preserve"> </w:t>
      </w:r>
      <w:r>
        <w:t>informiranja o tekućim</w:t>
      </w:r>
      <w:r w:rsidR="00E00280">
        <w:t xml:space="preserve"> </w:t>
      </w:r>
      <w:r>
        <w:t xml:space="preserve">događajima. </w:t>
      </w:r>
      <w:r w:rsidR="00E00280">
        <w:t>O</w:t>
      </w:r>
      <w:r>
        <w:t>sim</w:t>
      </w:r>
      <w:r w:rsidR="00E00280">
        <w:t xml:space="preserve"> </w:t>
      </w:r>
      <w:r>
        <w:t>grupnim</w:t>
      </w:r>
      <w:r w:rsidR="00E00280">
        <w:t xml:space="preserve"> </w:t>
      </w:r>
      <w:r>
        <w:t>sastanaka</w:t>
      </w:r>
      <w:r w:rsidR="00E00280">
        <w:t xml:space="preserve"> </w:t>
      </w:r>
      <w:r>
        <w:t>sa</w:t>
      </w:r>
      <w:r w:rsidR="00E00280">
        <w:t xml:space="preserve"> </w:t>
      </w:r>
      <w:r>
        <w:t>studentima</w:t>
      </w:r>
      <w:r w:rsidR="00E00280">
        <w:t xml:space="preserve"> </w:t>
      </w:r>
      <w:r>
        <w:t>voditelj</w:t>
      </w:r>
      <w:r w:rsidR="00E00280">
        <w:t xml:space="preserve"> </w:t>
      </w:r>
      <w:r>
        <w:t>studijske</w:t>
      </w:r>
      <w:r w:rsidR="00E00280">
        <w:t xml:space="preserve"> </w:t>
      </w:r>
      <w:r>
        <w:t>grupe prima student na</w:t>
      </w:r>
      <w:r w:rsidR="00E00280">
        <w:t xml:space="preserve"> </w:t>
      </w:r>
      <w:r>
        <w:t>individualne</w:t>
      </w:r>
      <w:r w:rsidR="00E00280">
        <w:t xml:space="preserve"> </w:t>
      </w:r>
      <w:r>
        <w:t>konzultacije</w:t>
      </w:r>
      <w:r w:rsidR="00E00280">
        <w:t xml:space="preserve"> </w:t>
      </w:r>
      <w:r>
        <w:t>vezano</w:t>
      </w:r>
      <w:r w:rsidR="00E00280">
        <w:t xml:space="preserve"> </w:t>
      </w:r>
      <w:r>
        <w:t>za</w:t>
      </w:r>
      <w:r w:rsidR="00E00280">
        <w:t xml:space="preserve"> </w:t>
      </w:r>
      <w:r>
        <w:t xml:space="preserve">pitanja o studiranju, studijskom program </w:t>
      </w:r>
      <w:r w:rsidR="003844AE">
        <w:t>i</w:t>
      </w:r>
      <w:r w:rsidR="00E00280">
        <w:t xml:space="preserve"> </w:t>
      </w:r>
      <w:r>
        <w:t>odabiru</w:t>
      </w:r>
      <w:r w:rsidR="00E00280">
        <w:t xml:space="preserve"> </w:t>
      </w:r>
      <w:r>
        <w:t>izbornih</w:t>
      </w:r>
      <w:r w:rsidR="00E00280">
        <w:t xml:space="preserve"> </w:t>
      </w:r>
      <w:r>
        <w:t>kolegija.</w:t>
      </w:r>
    </w:p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744A3E" w:rsidRDefault="00417DA8" w:rsidP="00582D89">
      <w:r w:rsidRPr="00744A3E">
        <w:rPr>
          <w:b/>
        </w:rPr>
        <w:t>Kalendarnastavnihaktivnosti</w:t>
      </w:r>
      <w:r w:rsidR="00425120">
        <w:rPr>
          <w:noProof/>
          <w:lang w:val="hr-HR" w:eastAsia="hr-HR"/>
        </w:rPr>
        <w:drawing>
          <wp:inline distT="0" distB="0" distL="0" distR="0">
            <wp:extent cx="5676900" cy="74359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3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817" w:rsidRPr="005740A6" w:rsidRDefault="003B6817" w:rsidP="00C04A47">
      <w:pPr>
        <w:rPr>
          <w:b/>
        </w:rPr>
      </w:pPr>
      <w:r w:rsidRPr="005740A6">
        <w:rPr>
          <w:b/>
        </w:rPr>
        <w:lastRenderedPageBreak/>
        <w:t>Urediiučionice:</w:t>
      </w:r>
    </w:p>
    <w:tbl>
      <w:tblPr>
        <w:tblStyle w:val="TableGrid"/>
        <w:tblW w:w="0" w:type="auto"/>
        <w:tblLook w:val="04A0"/>
      </w:tblPr>
      <w:tblGrid>
        <w:gridCol w:w="1279"/>
        <w:gridCol w:w="2346"/>
        <w:gridCol w:w="2198"/>
        <w:gridCol w:w="3436"/>
        <w:gridCol w:w="1037"/>
      </w:tblGrid>
      <w:tr w:rsidR="004B457D" w:rsidTr="004B457D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Br. prostorije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Vrstaprostorije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Smještajprostorije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Djelatnici</w:t>
            </w:r>
          </w:p>
        </w:tc>
        <w:tc>
          <w:tcPr>
            <w:tcW w:w="1701" w:type="dxa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Telefon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SašaŽivković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KarmenTravirkaMarčina, prof.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JelenaAlić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PredragSaratlija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DonataVidakovićSamaržija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</w:p>
          <w:p w:rsidR="004B457D" w:rsidRPr="004B457D" w:rsidRDefault="004B457D" w:rsidP="005740A6">
            <w:pPr>
              <w:jc w:val="center"/>
            </w:pPr>
            <w:r>
              <w:t>345-002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SmiljanaZrilić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Diana NenadićBilan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345-003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ZorakŠkoda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Dr.sc. TomislavKošta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Teodora Vigato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Izv.prof.dr.sc. Robert Bacalja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345-007</w:t>
            </w:r>
          </w:p>
          <w:p w:rsidR="004B457D" w:rsidRDefault="004B457D" w:rsidP="005740A6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Tamara KisovarIvanda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Mr.sc. Milena Radovan Burja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345-008</w:t>
            </w:r>
          </w:p>
          <w:p w:rsidR="00A96008" w:rsidRDefault="00A96008" w:rsidP="005740A6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SlavicaŠimićŠašić</w:t>
            </w:r>
          </w:p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Marija Musa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345-009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A96008" w:rsidP="004B457D">
            <w:pPr>
              <w:spacing w:after="0" w:line="240" w:lineRule="auto"/>
              <w:jc w:val="center"/>
            </w:pPr>
            <w:r>
              <w:t>EmilijaMatassiBotunac</w:t>
            </w:r>
          </w:p>
          <w:p w:rsidR="004B457D" w:rsidRDefault="00A96008" w:rsidP="004B457D">
            <w:pPr>
              <w:spacing w:after="0" w:line="240" w:lineRule="auto"/>
              <w:jc w:val="center"/>
            </w:pPr>
            <w:r>
              <w:t>Martina Šestan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Uredpročelnice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lastRenderedPageBreak/>
              <w:t>37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Informatičkikabinet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SnježanaHabušRončević,prof.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Violeta ValjanVukić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4B457D" w:rsidRDefault="004B457D" w:rsidP="005740A6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4B457D" w:rsidTr="005740A6">
        <w:tc>
          <w:tcPr>
            <w:tcW w:w="1213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14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Urednastavnika</w:t>
            </w:r>
          </w:p>
        </w:tc>
        <w:tc>
          <w:tcPr>
            <w:tcW w:w="1460" w:type="dxa"/>
            <w:vAlign w:val="center"/>
          </w:tcPr>
          <w:p w:rsidR="004B457D" w:rsidRDefault="004B457D" w:rsidP="004B457D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4B457D" w:rsidRDefault="005740A6" w:rsidP="004B457D">
            <w:pPr>
              <w:spacing w:after="0" w:line="240" w:lineRule="auto"/>
              <w:jc w:val="center"/>
            </w:pPr>
            <w:r>
              <w:t>Doc.dr.sc. Katarina Ivon</w:t>
            </w:r>
          </w:p>
          <w:p w:rsidR="005740A6" w:rsidRDefault="005740A6" w:rsidP="004B457D">
            <w:pPr>
              <w:spacing w:after="0" w:line="240" w:lineRule="auto"/>
              <w:jc w:val="center"/>
            </w:pPr>
            <w:r>
              <w:t>Doc.dr.sc. SlavicaVrsaljko</w:t>
            </w:r>
          </w:p>
        </w:tc>
        <w:tc>
          <w:tcPr>
            <w:tcW w:w="1701" w:type="dxa"/>
            <w:vAlign w:val="center"/>
          </w:tcPr>
          <w:p w:rsidR="004B457D" w:rsidRDefault="005740A6" w:rsidP="005740A6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3B6817" w:rsidRDefault="003B6817" w:rsidP="00C04A47"/>
    <w:p w:rsidR="005740A6" w:rsidRDefault="005740A6" w:rsidP="00C04A47"/>
    <w:p w:rsidR="005740A6" w:rsidRDefault="005740A6" w:rsidP="00C04A47"/>
    <w:p w:rsidR="008A3EE6" w:rsidRDefault="008A3EE6" w:rsidP="00C04A47"/>
    <w:p w:rsidR="008A3EE6" w:rsidRDefault="008A3EE6" w:rsidP="00C04A47"/>
    <w:p w:rsidR="008A3EE6" w:rsidRDefault="008A3EE6" w:rsidP="00C04A47"/>
    <w:p w:rsidR="008A3EE6" w:rsidRDefault="008A3EE6" w:rsidP="00C04A47"/>
    <w:p w:rsidR="00582D89" w:rsidRDefault="00582D89" w:rsidP="00C04A47"/>
    <w:p w:rsidR="00582D89" w:rsidRDefault="00582D89" w:rsidP="00C04A47"/>
    <w:p w:rsidR="00582D89" w:rsidRDefault="00582D89" w:rsidP="00C04A47"/>
    <w:p w:rsidR="008A3EE6" w:rsidRDefault="008A3EE6" w:rsidP="00C04A47"/>
    <w:p w:rsidR="00E34C97" w:rsidRDefault="00E34C97" w:rsidP="00C04A47"/>
    <w:p w:rsidR="008A3EE6" w:rsidRDefault="008A3EE6" w:rsidP="00C04A47"/>
    <w:p w:rsidR="00425120" w:rsidRDefault="00425120" w:rsidP="00425120">
      <w:r>
        <w:t xml:space="preserve">SVEUČILIŠTE U ZADRU </w:t>
      </w:r>
    </w:p>
    <w:p w:rsidR="00425120" w:rsidRDefault="00425120" w:rsidP="00425120">
      <w:r>
        <w:t xml:space="preserve">ODJEL ZA IZOBRAZBU UČITELJA I ODGOJITELJA </w:t>
      </w:r>
    </w:p>
    <w:p w:rsidR="00425120" w:rsidRDefault="00425120" w:rsidP="00425120">
      <w:r>
        <w:t>KLASA: 602-04/19-03/07</w:t>
      </w:r>
    </w:p>
    <w:p w:rsidR="00425120" w:rsidRDefault="00425120" w:rsidP="00425120">
      <w:r>
        <w:t>URBROJ: 2198-1-79-44/19-05</w:t>
      </w:r>
    </w:p>
    <w:p w:rsidR="00425120" w:rsidRDefault="00425120" w:rsidP="00425120"/>
    <w:p w:rsidR="00425120" w:rsidRDefault="00425120" w:rsidP="00425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</w:p>
    <w:p w:rsidR="00425120" w:rsidRDefault="00425120" w:rsidP="00425120">
      <w:pPr>
        <w:jc w:val="center"/>
      </w:pPr>
      <w:r>
        <w:t>za V. semestar Sveučilišnog preddiplomskog studija Rani i predškolski odgoj i obrazovanje</w:t>
      </w:r>
    </w:p>
    <w:p w:rsidR="00425120" w:rsidRDefault="00425120" w:rsidP="00425120">
      <w:pPr>
        <w:jc w:val="center"/>
      </w:pPr>
      <w:r>
        <w:t>na Sveučilištu u Zadru u ak. god. 2019./2020.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2510"/>
        <w:gridCol w:w="3128"/>
        <w:gridCol w:w="872"/>
        <w:gridCol w:w="745"/>
        <w:gridCol w:w="590"/>
        <w:gridCol w:w="793"/>
      </w:tblGrid>
      <w:tr w:rsidR="00425120" w:rsidTr="00425120">
        <w:trPr>
          <w:cantSplit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Šifra</w:t>
            </w: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10"/>
                <w:szCs w:val="10"/>
              </w:rPr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10"/>
                <w:szCs w:val="10"/>
              </w:rPr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425120" w:rsidTr="00425120">
        <w:trPr>
          <w:cantSplit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2"/>
                <w:szCs w:val="2"/>
              </w:rPr>
            </w:pPr>
          </w:p>
          <w:p w:rsidR="00425120" w:rsidRDefault="00425120" w:rsidP="004251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rPr>
                <w:sz w:val="18"/>
                <w:szCs w:val="18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rPr>
          <w:trHeight w:val="62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 xml:space="preserve">Doc. dr. sc. Violeta Valjan Vukić 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Alternativne koncepcije u predškolskom odgoju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RPr="008F756F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RPO302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r w:rsidRPr="008F756F">
              <w:rPr>
                <w:sz w:val="22"/>
                <w:szCs w:val="22"/>
              </w:rPr>
              <w:t>Izv. prof. dr. sc. Ivica Vigato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/>
          <w:p w:rsidR="00425120" w:rsidRPr="008F756F" w:rsidRDefault="00425120" w:rsidP="00425120">
            <w:r w:rsidRPr="008F756F">
              <w:rPr>
                <w:sz w:val="22"/>
                <w:szCs w:val="22"/>
              </w:rPr>
              <w:t>Lutkarstvo i scenska kultura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4</w:t>
            </w:r>
          </w:p>
        </w:tc>
      </w:tr>
      <w:tr w:rsidR="00425120" w:rsidRPr="008F756F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Pr="008F756F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r w:rsidRPr="008F756F">
              <w:rPr>
                <w:sz w:val="22"/>
                <w:szCs w:val="22"/>
              </w:rPr>
              <w:t xml:space="preserve">Goran Smoljanović, mag. art.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  <w:r w:rsidRPr="008F756F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8F756F" w:rsidRDefault="00425120" w:rsidP="00425120">
            <w:pPr>
              <w:jc w:val="center"/>
            </w:pPr>
          </w:p>
        </w:tc>
      </w:tr>
      <w:tr w:rsidR="00425120" w:rsidTr="00425120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Likovna metodika u integriranom kurikulu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Tr="00425120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lastRenderedPageBreak/>
              <w:t>RPO304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Snježana Habuš Rončević,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Glazbena metodika u integriranom kurikulu 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5120" w:rsidTr="00425120">
        <w:trPr>
          <w:trHeight w:val="50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6768B6" w:rsidRDefault="00425120" w:rsidP="00425120">
            <w:r>
              <w:rPr>
                <w:sz w:val="22"/>
                <w:szCs w:val="22"/>
              </w:rPr>
              <w:t>Mr. sc. Predrag Saratlija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Kineziološka metodika u integriranom kurikulu 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425120" w:rsidRDefault="00425120" w:rsidP="00425120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Doc. dr. sc. Diana Nenadić-Bilan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Jezično-komunikacijski integrirani kurikul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 xml:space="preserve">Doc. dr. sc. Violeta Valjan Vukić 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Stručna praksa IV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Mentori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>B) IZBORNI PREDMETI S MATIČNOG STUDIJA*: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D11D20" w:rsidRDefault="00425120" w:rsidP="00425120">
            <w:r>
              <w:rPr>
                <w:sz w:val="22"/>
                <w:szCs w:val="22"/>
              </w:rPr>
              <w:t>Doc. dr. sc. Diana NenadićBilan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/>
          <w:p w:rsidR="00425120" w:rsidRPr="00D11D20" w:rsidRDefault="00425120" w:rsidP="00425120"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Marijana Miočić,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rPr>
          <w:trHeight w:val="50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Doc. dr. sc.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rPr>
                <w:sz w:val="18"/>
                <w:szCs w:val="18"/>
              </w:rPr>
            </w:pPr>
            <w:r>
              <w:t>Bilješka: Studenti upisuju, slušaju i polažu izborni/e predmet/e s matičnog Odjela ili s drugih odjela. Ukupan broj ECTS bodova za izborne predmete mora iznositi najmanje 3 ECTS boda.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ind w:left="284" w:hanging="284"/>
              <w:rPr>
                <w:b/>
              </w:rPr>
            </w:pPr>
            <w:r>
              <w:rPr>
                <w:b/>
              </w:rPr>
              <w:t xml:space="preserve">C) IZBORNI PREDMETI S DRUGIH PREDDIPLOMSKIH SVEUČILIŠNIH STUDIJA, </w:t>
            </w:r>
            <w:r>
              <w:rPr>
                <w:b/>
              </w:rPr>
              <w:lastRenderedPageBreak/>
              <w:t>INTEGRIRANOG PREDDIPLOMSKOG I DIPLOMSKOG SVEUČILIŠNOG STUDIJA, CENTRA „STJEPAN MATIČEVIĆ“, CENTRA ZA STRANE JEZIKE I CENTRA ZA TJELOVJEŽBU I STUDENTSKI ŠPORT**: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Bilješka: </w:t>
            </w:r>
            <w:r>
              <w:rPr>
                <w:sz w:val="18"/>
                <w:szCs w:val="18"/>
              </w:rPr>
              <w:t>Studenti/ce upisuju, slušaju i polažu izborne predmete s drugih studija kojim/a se stječe najmanje .......... boda/ova.</w:t>
            </w: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  <w:rPr>
                <w:sz w:val="6"/>
                <w:szCs w:val="6"/>
              </w:rPr>
            </w:pPr>
          </w:p>
          <w:p w:rsidR="00425120" w:rsidRDefault="00425120" w:rsidP="00425120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Student/ica pod A), B) i C)</w:t>
            </w:r>
            <w:r>
              <w:rPr>
                <w:sz w:val="20"/>
              </w:rPr>
              <w:t xml:space="preserve"> mora upisati, slušati i polagati predmete kojim/a se stječe najmanje 30 boda/ova***</w:t>
            </w:r>
          </w:p>
          <w:p w:rsidR="00425120" w:rsidRDefault="00425120" w:rsidP="00425120">
            <w:pPr>
              <w:jc w:val="center"/>
              <w:rPr>
                <w:sz w:val="6"/>
                <w:szCs w:val="6"/>
              </w:rPr>
            </w:pPr>
          </w:p>
        </w:tc>
      </w:tr>
      <w:tr w:rsidR="00425120" w:rsidTr="00425120"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  <w:p w:rsidR="00425120" w:rsidRDefault="00425120" w:rsidP="00425120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</w:t>
            </w:r>
            <w:r w:rsidRPr="009208C3">
              <w:rPr>
                <w:b/>
              </w:rPr>
              <w:t>PREDDIPLOMSKIH</w:t>
            </w:r>
          </w:p>
          <w:p w:rsidR="00425120" w:rsidRPr="005E79F7" w:rsidRDefault="00425120" w:rsidP="00425120">
            <w:pPr>
              <w:rPr>
                <w:b/>
              </w:rPr>
            </w:pPr>
            <w:r w:rsidRPr="009208C3">
              <w:rPr>
                <w:b/>
              </w:rPr>
              <w:t>SVEUČILIŠNIH STUDIJA</w:t>
            </w:r>
            <w:r>
              <w:rPr>
                <w:b/>
              </w:rPr>
              <w:t>, INTEGRIRANIH I STRUČNIH STUDIJA ****:</w:t>
            </w:r>
          </w:p>
          <w:p w:rsidR="00425120" w:rsidRDefault="00425120" w:rsidP="00425120">
            <w:pPr>
              <w:rPr>
                <w:b/>
                <w:sz w:val="6"/>
                <w:szCs w:val="6"/>
              </w:rPr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Karmen TravirkaMarčina, prof.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937261" w:rsidRDefault="00425120" w:rsidP="00425120">
            <w:pPr>
              <w:rPr>
                <w:color w:val="FF0000"/>
              </w:rPr>
            </w:pPr>
            <w:r w:rsidRPr="00D11D20">
              <w:rPr>
                <w:sz w:val="22"/>
                <w:szCs w:val="22"/>
              </w:rPr>
              <w:t>Estetika prostora predškolske ustanove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RPO309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Pr="00D11D20" w:rsidRDefault="00425120" w:rsidP="00425120">
            <w:r>
              <w:rPr>
                <w:sz w:val="22"/>
                <w:szCs w:val="22"/>
              </w:rPr>
              <w:t>Doc. dr. sc. Diana NenadićBilan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/>
          <w:p w:rsidR="00425120" w:rsidRPr="00D11D20" w:rsidRDefault="00425120" w:rsidP="00425120">
            <w:r>
              <w:rPr>
                <w:sz w:val="22"/>
                <w:szCs w:val="22"/>
              </w:rPr>
              <w:t xml:space="preserve">Partnerstvo obitelji i predškolske ustanove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25120" w:rsidTr="00425120"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20" w:rsidRDefault="00425120" w:rsidP="00425120">
            <w:pPr>
              <w:jc w:val="center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 xml:space="preserve">Marijana Miočić, prof. 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/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</w:p>
        </w:tc>
      </w:tr>
      <w:tr w:rsidR="00425120" w:rsidTr="00425120"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RPO310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Doc. dr. sc. Jelena Alić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r>
              <w:rPr>
                <w:sz w:val="22"/>
                <w:szCs w:val="22"/>
              </w:rPr>
              <w:t>Dječje stvaralaštvo u pokretu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20" w:rsidRDefault="00425120" w:rsidP="0042512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25120" w:rsidRDefault="00425120" w:rsidP="00425120">
      <w:pPr>
        <w:rPr>
          <w:sz w:val="8"/>
          <w:szCs w:val="8"/>
        </w:rPr>
      </w:pPr>
    </w:p>
    <w:p w:rsidR="00425120" w:rsidRDefault="00425120" w:rsidP="00425120">
      <w:pPr>
        <w:rPr>
          <w:sz w:val="8"/>
          <w:szCs w:val="8"/>
        </w:rPr>
      </w:pPr>
    </w:p>
    <w:p w:rsidR="00425120" w:rsidRDefault="00425120" w:rsidP="00425120">
      <w:pPr>
        <w:rPr>
          <w:sz w:val="22"/>
          <w:szCs w:val="22"/>
        </w:rPr>
      </w:pPr>
      <w:r>
        <w:rPr>
          <w:sz w:val="22"/>
          <w:szCs w:val="22"/>
        </w:rPr>
        <w:t>Bilješka: Šifra se ne upisuje u indeks.</w:t>
      </w:r>
    </w:p>
    <w:p w:rsidR="00425120" w:rsidRDefault="00425120" w:rsidP="00425120">
      <w:pPr>
        <w:rPr>
          <w:sz w:val="22"/>
          <w:szCs w:val="22"/>
        </w:rPr>
      </w:pPr>
    </w:p>
    <w:p w:rsidR="00425120" w:rsidRDefault="00425120" w:rsidP="00425120">
      <w:pPr>
        <w:rPr>
          <w:sz w:val="4"/>
          <w:szCs w:val="4"/>
        </w:rPr>
      </w:pP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Predmeti se upisuju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po redu predavanja kod tajnika/ce matičnog odjela ili putem studomata, prvo svi obvezni (temeljni) predmeti, zatim određeni broj izbornih predmeta s matičnog studija i na kraju određeni broj izbornih predmeta s drugih studija.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Izborni predmeti s matičnog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matičnog odjela ili putem studomata, na temelju odobrenih kvota.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Izborni predmeti s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drugih odjela ili putem studomata, na temelju odobrenih kvota.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>*** Studenti/ce jednopredmetnih studija upisuju najmanje 30 bodova semestralno.</w:t>
      </w:r>
    </w:p>
    <w:p w:rsidR="00425120" w:rsidRDefault="00425120" w:rsidP="004251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**** Predmeti koji se nude studentima/cama drugih studija upisuju se u </w:t>
      </w:r>
      <w:r>
        <w:rPr>
          <w:i/>
          <w:sz w:val="22"/>
          <w:szCs w:val="22"/>
        </w:rPr>
        <w:t>Upisni list</w:t>
      </w:r>
      <w:r>
        <w:rPr>
          <w:sz w:val="22"/>
          <w:szCs w:val="22"/>
        </w:rPr>
        <w:t xml:space="preserve"> kod tajnika/ce ovoga odjela ili putem studomata, na temelju odobrenih kvota.</w:t>
      </w: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jc w:val="both"/>
        <w:rPr>
          <w:sz w:val="22"/>
          <w:szCs w:val="22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M. P.</w:t>
      </w: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16"/>
          <w:szCs w:val="16"/>
        </w:rPr>
      </w:pPr>
    </w:p>
    <w:p w:rsidR="00425120" w:rsidRDefault="00425120" w:rsidP="00425120">
      <w:pPr>
        <w:rPr>
          <w:sz w:val="22"/>
          <w:szCs w:val="22"/>
        </w:rPr>
      </w:pPr>
      <w:r>
        <w:t>Zadar, 29. travnja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Doc. dr. sc. Maja Cindrić,  pročelnica</w:t>
      </w:r>
    </w:p>
    <w:p w:rsidR="008A3EE6" w:rsidRDefault="00425120" w:rsidP="00425120">
      <w:r>
        <w:rPr>
          <w:sz w:val="22"/>
          <w:szCs w:val="22"/>
        </w:rPr>
        <w:br w:type="page"/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rPr>
          <w:rFonts w:ascii="Arial" w:eastAsia="Tw Cen MT" w:hAnsi="Arial"/>
          <w:lang w:val="cs-CZ"/>
        </w:rPr>
      </w:pPr>
      <w:r w:rsidRPr="00274FA7">
        <w:rPr>
          <w:rFonts w:ascii="Tw Cen MT" w:eastAsia="Tw Cen MT" w:hAnsi="Tw Cen MT"/>
          <w:lang w:val="pl-PL"/>
        </w:rPr>
        <w:lastRenderedPageBreak/>
        <w:t>SVEUČILIŠTE U ZADRU</w:t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rPr>
          <w:rFonts w:ascii="Arial" w:eastAsia="Tw Cen MT" w:hAnsi="Arial"/>
          <w:lang w:val="cs-CZ"/>
        </w:rPr>
      </w:pPr>
      <w:r w:rsidRPr="00274FA7">
        <w:rPr>
          <w:rFonts w:ascii="Tw Cen MT" w:eastAsia="Tw Cen MT" w:hAnsi="Tw Cen MT"/>
          <w:lang w:val="pl-PL"/>
        </w:rPr>
        <w:t>ODJEL ZA IZOBRAZBU UČITELJA</w:t>
      </w:r>
      <w:r>
        <w:rPr>
          <w:rFonts w:ascii="Tw Cen MT" w:eastAsia="Tw Cen MT" w:hAnsi="Tw Cen MT"/>
          <w:lang w:val="pl-PL"/>
        </w:rPr>
        <w:t xml:space="preserve"> I ODGOJITELJA</w:t>
      </w:r>
    </w:p>
    <w:p w:rsidR="00425120" w:rsidRPr="00274FA7" w:rsidRDefault="00425120" w:rsidP="00425120">
      <w:pPr>
        <w:rPr>
          <w:rFonts w:ascii="Tw Cen MT" w:eastAsia="Tw Cen MT" w:hAnsi="Tw Cen MT"/>
          <w:b/>
          <w:lang w:val="hr-HR"/>
        </w:rPr>
      </w:pPr>
      <w:r w:rsidRPr="00274FA7">
        <w:rPr>
          <w:rFonts w:ascii="Tw Cen MT" w:eastAsia="Tw Cen MT" w:hAnsi="Tw Cen MT"/>
          <w:b/>
          <w:lang w:val="hr-HR"/>
        </w:rPr>
        <w:t>ODSJEK ZA PREDŠKOLSKI  ODGOJ</w:t>
      </w:r>
    </w:p>
    <w:p w:rsidR="00425120" w:rsidRDefault="00425120" w:rsidP="00425120">
      <w:pPr>
        <w:rPr>
          <w:rFonts w:ascii="Tw Cen MT" w:eastAsia="Tw Cen MT" w:hAnsi="Tw Cen MT"/>
          <w:lang w:val="hr-HR"/>
        </w:rPr>
      </w:pPr>
      <w:r w:rsidRPr="00274FA7">
        <w:rPr>
          <w:rFonts w:ascii="Tw Cen MT" w:eastAsia="Tw Cen MT" w:hAnsi="Tw Cen MT"/>
          <w:lang w:val="hr-HR"/>
        </w:rPr>
        <w:t xml:space="preserve">Zadar, </w:t>
      </w:r>
      <w:r>
        <w:rPr>
          <w:rFonts w:ascii="Tw Cen MT" w:eastAsia="Tw Cen MT" w:hAnsi="Tw Cen MT"/>
          <w:lang w:val="hr-HR"/>
        </w:rPr>
        <w:t xml:space="preserve"> 8.07.2019.</w:t>
      </w:r>
    </w:p>
    <w:p w:rsidR="00425120" w:rsidRPr="00274FA7" w:rsidRDefault="00425120" w:rsidP="00425120">
      <w:pPr>
        <w:rPr>
          <w:rFonts w:ascii="Tw Cen MT" w:eastAsia="Tw Cen MT" w:hAnsi="Tw Cen MT"/>
          <w:lang w:val="cs-CZ"/>
        </w:rPr>
      </w:pPr>
    </w:p>
    <w:p w:rsidR="00425120" w:rsidRPr="00274FA7" w:rsidRDefault="00425120" w:rsidP="00425120">
      <w:pPr>
        <w:rPr>
          <w:rFonts w:ascii="Tw Cen MT" w:eastAsia="Tw Cen MT" w:hAnsi="Tw Cen MT"/>
          <w:lang w:val="cs-CZ"/>
        </w:rPr>
      </w:pPr>
    </w:p>
    <w:p w:rsidR="00425120" w:rsidRPr="00274FA7" w:rsidRDefault="00425120" w:rsidP="00425120">
      <w:pPr>
        <w:overflowPunct w:val="0"/>
        <w:autoSpaceDE w:val="0"/>
        <w:autoSpaceDN w:val="0"/>
        <w:adjustRightInd w:val="0"/>
        <w:jc w:val="center"/>
        <w:rPr>
          <w:rFonts w:ascii="Arial" w:eastAsia="Tw Cen MT" w:hAnsi="Arial"/>
          <w:b/>
          <w:lang w:val="cs-CZ"/>
        </w:rPr>
      </w:pPr>
      <w:r w:rsidRPr="00274FA7">
        <w:rPr>
          <w:rFonts w:ascii="Tw Cen MT" w:eastAsia="Tw Cen MT" w:hAnsi="Tw Cen MT"/>
          <w:b/>
          <w:lang w:val="pl-PL"/>
        </w:rPr>
        <w:t>RASPOR</w:t>
      </w:r>
      <w:r>
        <w:rPr>
          <w:rFonts w:ascii="Tw Cen MT" w:eastAsia="Tw Cen MT" w:hAnsi="Tw Cen MT"/>
          <w:b/>
          <w:lang w:val="pl-PL"/>
        </w:rPr>
        <w:t>ED SATI ZA AKADEMSKU GODINU 2019./20</w:t>
      </w:r>
      <w:r w:rsidRPr="00274FA7">
        <w:rPr>
          <w:rFonts w:ascii="Tw Cen MT" w:eastAsia="Tw Cen MT" w:hAnsi="Tw Cen MT"/>
          <w:b/>
          <w:lang w:val="pl-PL"/>
        </w:rPr>
        <w:t>.</w:t>
      </w:r>
    </w:p>
    <w:p w:rsidR="00425120" w:rsidRPr="00274FA7" w:rsidRDefault="00425120" w:rsidP="00425120">
      <w:pPr>
        <w:overflowPunct w:val="0"/>
        <w:autoSpaceDE w:val="0"/>
        <w:autoSpaceDN w:val="0"/>
        <w:adjustRightInd w:val="0"/>
        <w:jc w:val="center"/>
        <w:rPr>
          <w:rFonts w:ascii="Tw Cen MT" w:eastAsia="Tw Cen MT" w:hAnsi="Tw Cen MT"/>
          <w:b/>
          <w:sz w:val="32"/>
          <w:lang w:val="pl-PL"/>
        </w:rPr>
      </w:pPr>
      <w:r w:rsidRPr="00274FA7">
        <w:rPr>
          <w:rFonts w:ascii="Tw Cen MT" w:eastAsia="Tw Cen MT" w:hAnsi="Tw Cen MT"/>
          <w:b/>
          <w:lang w:val="pl-PL"/>
        </w:rPr>
        <w:t xml:space="preserve"> </w:t>
      </w:r>
      <w:r>
        <w:rPr>
          <w:rFonts w:ascii="Tw Cen MT" w:eastAsia="Tw Cen MT" w:hAnsi="Tw Cen MT"/>
          <w:b/>
          <w:sz w:val="32"/>
          <w:lang w:val="pl-PL"/>
        </w:rPr>
        <w:t>5. semestar (3. godina)</w:t>
      </w:r>
    </w:p>
    <w:p w:rsidR="00425120" w:rsidRDefault="00425120" w:rsidP="00425120">
      <w:pPr>
        <w:rPr>
          <w:rFonts w:ascii="Tw Cen MT" w:eastAsia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3"/>
        <w:gridCol w:w="2480"/>
        <w:gridCol w:w="3017"/>
        <w:gridCol w:w="1794"/>
      </w:tblGrid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pStyle w:val="Heading2"/>
              <w:rPr>
                <w:rFonts w:ascii="Tw Cen MT" w:eastAsia="Tw Cen MT" w:hAnsi="Tw Cen MT"/>
                <w:color w:val="94B6D2"/>
              </w:rPr>
            </w:pPr>
            <w:r w:rsidRPr="00F3088C">
              <w:rPr>
                <w:rFonts w:ascii="Tw Cen MT" w:eastAsia="Tw Cen MT" w:hAnsi="Tw Cen MT"/>
                <w:color w:val="94B6D2"/>
              </w:rPr>
              <w:t>Sat</w:t>
            </w:r>
          </w:p>
        </w:tc>
        <w:tc>
          <w:tcPr>
            <w:tcW w:w="2480" w:type="dxa"/>
          </w:tcPr>
          <w:p w:rsidR="00425120" w:rsidRPr="00F3088C" w:rsidRDefault="00425120" w:rsidP="00425120">
            <w:pPr>
              <w:pStyle w:val="Heading2"/>
              <w:rPr>
                <w:rFonts w:ascii="Tw Cen MT" w:eastAsia="Tw Cen MT" w:hAnsi="Tw Cen MT"/>
                <w:color w:val="94B6D2"/>
              </w:rPr>
            </w:pPr>
            <w:r w:rsidRPr="00F3088C">
              <w:rPr>
                <w:rFonts w:ascii="Tw Cen MT" w:eastAsia="Tw Cen MT" w:hAnsi="Tw Cen MT"/>
                <w:color w:val="94B6D2"/>
              </w:rPr>
              <w:t>Predavač</w:t>
            </w:r>
          </w:p>
        </w:tc>
        <w:tc>
          <w:tcPr>
            <w:tcW w:w="3017" w:type="dxa"/>
          </w:tcPr>
          <w:p w:rsidR="00425120" w:rsidRPr="00F3088C" w:rsidRDefault="00425120" w:rsidP="00425120">
            <w:pPr>
              <w:pStyle w:val="Heading2"/>
              <w:rPr>
                <w:rFonts w:ascii="Tw Cen MT" w:eastAsia="Tw Cen MT" w:hAnsi="Tw Cen MT"/>
                <w:color w:val="94B6D2"/>
              </w:rPr>
            </w:pPr>
            <w:r w:rsidRPr="00F3088C">
              <w:rPr>
                <w:rFonts w:ascii="Tw Cen MT" w:eastAsia="Tw Cen MT" w:hAnsi="Tw Cen MT"/>
                <w:color w:val="94B6D2"/>
              </w:rPr>
              <w:t>Kolegij</w:t>
            </w:r>
          </w:p>
        </w:tc>
        <w:tc>
          <w:tcPr>
            <w:tcW w:w="1406" w:type="dxa"/>
          </w:tcPr>
          <w:p w:rsidR="00425120" w:rsidRPr="00F3088C" w:rsidRDefault="00425120" w:rsidP="00425120">
            <w:pPr>
              <w:pStyle w:val="Heading1"/>
              <w:rPr>
                <w:rFonts w:ascii="Tw Cen MT" w:eastAsia="Tw Cen MT" w:hAnsi="Tw Cen MT"/>
                <w:color w:val="775F55"/>
              </w:rPr>
            </w:pPr>
            <w:r w:rsidRPr="00F3088C">
              <w:rPr>
                <w:rFonts w:ascii="Tw Cen MT" w:eastAsia="Tw Cen MT" w:hAnsi="Tw Cen MT"/>
                <w:color w:val="775F55"/>
              </w:rPr>
              <w:t>Dvorana</w:t>
            </w:r>
          </w:p>
        </w:tc>
      </w:tr>
      <w:tr w:rsidR="00425120" w:rsidRPr="00F3088C" w:rsidTr="00425120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425120" w:rsidRPr="00F3088C" w:rsidRDefault="00425120" w:rsidP="00425120">
            <w:pPr>
              <w:pStyle w:val="Heading1"/>
              <w:rPr>
                <w:rFonts w:ascii="Tw Cen MT" w:eastAsia="Tw Cen MT" w:hAnsi="Tw Cen MT"/>
                <w:color w:val="775F55"/>
              </w:rPr>
            </w:pPr>
            <w:r w:rsidRPr="00F3088C">
              <w:rPr>
                <w:rFonts w:ascii="Tw Cen MT" w:eastAsia="Tw Cen MT" w:hAnsi="Tw Cen MT"/>
                <w:color w:val="775F55"/>
              </w:rPr>
              <w:t>PONEDJELJAK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10:30-12:30</w:t>
            </w:r>
          </w:p>
        </w:tc>
        <w:tc>
          <w:tcPr>
            <w:tcW w:w="2480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 w:rsidRPr="009746C2">
              <w:rPr>
                <w:rFonts w:ascii="Tw Cen MT" w:eastAsia="Tw Cen MT" w:hAnsi="Tw Cen MT"/>
                <w:lang w:val="hr-HR"/>
              </w:rPr>
              <w:t>Snježana Habuš-Rončević,prof.</w:t>
            </w:r>
          </w:p>
        </w:tc>
        <w:tc>
          <w:tcPr>
            <w:tcW w:w="3017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Glazbena metodika u integriranom kurikulu I</w:t>
            </w:r>
          </w:p>
        </w:tc>
        <w:tc>
          <w:tcPr>
            <w:tcW w:w="1406" w:type="dxa"/>
          </w:tcPr>
          <w:p w:rsidR="00425120" w:rsidRPr="00206FCB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103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13:00-14:00</w:t>
            </w:r>
          </w:p>
        </w:tc>
        <w:tc>
          <w:tcPr>
            <w:tcW w:w="2480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Doc. dr. sc. Jelena Alić</w:t>
            </w:r>
          </w:p>
        </w:tc>
        <w:tc>
          <w:tcPr>
            <w:tcW w:w="3017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Dječje stvaralaštvo u pokretu (IZBORNI)</w:t>
            </w:r>
          </w:p>
        </w:tc>
        <w:tc>
          <w:tcPr>
            <w:tcW w:w="1406" w:type="dxa"/>
            <w:vAlign w:val="center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Dvorana Višnjik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15:30-19:30</w:t>
            </w:r>
          </w:p>
        </w:tc>
        <w:tc>
          <w:tcPr>
            <w:tcW w:w="2480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Goran Smoljanović, mag. art.</w:t>
            </w:r>
          </w:p>
        </w:tc>
        <w:tc>
          <w:tcPr>
            <w:tcW w:w="3017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Lutkarstvo i scenska kultura II</w:t>
            </w:r>
          </w:p>
        </w:tc>
        <w:tc>
          <w:tcPr>
            <w:tcW w:w="1406" w:type="dxa"/>
          </w:tcPr>
          <w:p w:rsidR="00425120" w:rsidRPr="00206FCB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105</w:t>
            </w:r>
          </w:p>
        </w:tc>
      </w:tr>
      <w:tr w:rsidR="00425120" w:rsidRPr="00F3088C" w:rsidTr="00425120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425120" w:rsidRPr="00F3088C" w:rsidRDefault="00425120" w:rsidP="00425120">
            <w:pPr>
              <w:pStyle w:val="Heading4"/>
              <w:rPr>
                <w:rFonts w:ascii="Tw Cen MT" w:eastAsia="Tw Cen MT" w:hAnsi="Tw Cen MT"/>
                <w:lang w:val="hr-HR"/>
              </w:rPr>
            </w:pPr>
            <w:r w:rsidRPr="00F3088C">
              <w:rPr>
                <w:rFonts w:ascii="Tw Cen MT" w:eastAsia="Tw Cen MT" w:hAnsi="Tw Cen MT"/>
                <w:lang w:val="pl-PL"/>
              </w:rPr>
              <w:t>UTORAK</w:t>
            </w:r>
          </w:p>
        </w:tc>
      </w:tr>
      <w:tr w:rsidR="00425120" w:rsidRPr="00F3088C" w:rsidTr="00425120">
        <w:tc>
          <w:tcPr>
            <w:tcW w:w="1953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cs-CZ"/>
              </w:rPr>
              <w:t>10:00-12:30</w:t>
            </w:r>
          </w:p>
        </w:tc>
        <w:tc>
          <w:tcPr>
            <w:tcW w:w="2480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hr-HR"/>
              </w:rPr>
              <w:t>Doc.dr.sc. Diana Nenadić-  Bilan</w:t>
            </w:r>
          </w:p>
        </w:tc>
        <w:tc>
          <w:tcPr>
            <w:tcW w:w="3017" w:type="dxa"/>
            <w:vAlign w:val="center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Jezično-komunikacijski integrirani kurikul (P)</w:t>
            </w:r>
          </w:p>
        </w:tc>
        <w:tc>
          <w:tcPr>
            <w:tcW w:w="1406" w:type="dxa"/>
            <w:vAlign w:val="center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105</w:t>
            </w:r>
          </w:p>
        </w:tc>
      </w:tr>
      <w:tr w:rsidR="00425120" w:rsidRPr="00F3088C" w:rsidTr="00425120">
        <w:tc>
          <w:tcPr>
            <w:tcW w:w="1953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cs-CZ"/>
              </w:rPr>
              <w:t>12:30-15:00</w:t>
            </w:r>
          </w:p>
        </w:tc>
        <w:tc>
          <w:tcPr>
            <w:tcW w:w="2480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cs-CZ"/>
              </w:rPr>
              <w:t>Doc.dr.sc. Violeta Valjan Vukić</w:t>
            </w:r>
          </w:p>
        </w:tc>
        <w:tc>
          <w:tcPr>
            <w:tcW w:w="3017" w:type="dxa"/>
            <w:vAlign w:val="center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Alternativne koncepcije u predškolskom odgoju</w:t>
            </w:r>
          </w:p>
        </w:tc>
        <w:tc>
          <w:tcPr>
            <w:tcW w:w="1406" w:type="dxa"/>
            <w:vAlign w:val="center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103</w:t>
            </w:r>
          </w:p>
        </w:tc>
      </w:tr>
      <w:tr w:rsidR="00425120" w:rsidRPr="00F3088C" w:rsidTr="00425120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425120" w:rsidRPr="00F3088C" w:rsidRDefault="00425120" w:rsidP="00425120">
            <w:pPr>
              <w:pStyle w:val="Heading4"/>
              <w:rPr>
                <w:rFonts w:ascii="Tw Cen MT" w:eastAsia="Tw Cen MT" w:hAnsi="Tw Cen MT"/>
                <w:lang w:val="hr-HR"/>
              </w:rPr>
            </w:pPr>
            <w:r w:rsidRPr="00F3088C">
              <w:rPr>
                <w:rFonts w:ascii="Tw Cen MT" w:eastAsia="Tw Cen MT" w:hAnsi="Tw Cen MT"/>
                <w:lang w:val="cs-CZ"/>
              </w:rPr>
              <w:lastRenderedPageBreak/>
              <w:t>SRIJEDA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8:00-12:00</w:t>
            </w:r>
          </w:p>
        </w:tc>
        <w:tc>
          <w:tcPr>
            <w:tcW w:w="6903" w:type="dxa"/>
            <w:gridSpan w:val="3"/>
          </w:tcPr>
          <w:p w:rsidR="00425120" w:rsidRPr="00F3088C" w:rsidRDefault="00425120" w:rsidP="00425120">
            <w:pPr>
              <w:jc w:val="center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Stručna praksa-vježbaonica</w:t>
            </w:r>
          </w:p>
        </w:tc>
      </w:tr>
      <w:tr w:rsidR="00425120" w:rsidRPr="00F3088C" w:rsidTr="00425120">
        <w:tc>
          <w:tcPr>
            <w:tcW w:w="1953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cs-CZ"/>
              </w:rPr>
              <w:t>13:00-14:30</w:t>
            </w:r>
          </w:p>
        </w:tc>
        <w:tc>
          <w:tcPr>
            <w:tcW w:w="2480" w:type="dxa"/>
            <w:vAlign w:val="center"/>
          </w:tcPr>
          <w:p w:rsidR="00425120" w:rsidRPr="00F3088C" w:rsidRDefault="00425120" w:rsidP="00425120">
            <w:pPr>
              <w:overflowPunct w:val="0"/>
              <w:autoSpaceDE w:val="0"/>
              <w:autoSpaceDN w:val="0"/>
              <w:adjustRightInd w:val="0"/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pl-PL"/>
              </w:rPr>
              <w:t>Karmen Travirka Marčina, prof.</w:t>
            </w:r>
          </w:p>
        </w:tc>
        <w:tc>
          <w:tcPr>
            <w:tcW w:w="3017" w:type="dxa"/>
            <w:vAlign w:val="center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Likovna metodika u integriranom kurikulu II</w:t>
            </w:r>
          </w:p>
        </w:tc>
        <w:tc>
          <w:tcPr>
            <w:tcW w:w="1406" w:type="dxa"/>
            <w:vAlign w:val="center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109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14:30-16:00</w:t>
            </w:r>
          </w:p>
        </w:tc>
        <w:tc>
          <w:tcPr>
            <w:tcW w:w="2480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pl-PL"/>
              </w:rPr>
              <w:t>Karmen Travirka Marčina, prof.</w:t>
            </w:r>
          </w:p>
        </w:tc>
        <w:tc>
          <w:tcPr>
            <w:tcW w:w="3017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Estetika prostora predškolske ustanove (IZBORNI)</w:t>
            </w:r>
          </w:p>
        </w:tc>
        <w:tc>
          <w:tcPr>
            <w:tcW w:w="1406" w:type="dxa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109</w:t>
            </w:r>
          </w:p>
        </w:tc>
      </w:tr>
      <w:tr w:rsidR="00425120" w:rsidRPr="00F3088C" w:rsidTr="00425120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425120" w:rsidRPr="00F3088C" w:rsidRDefault="00425120" w:rsidP="00425120">
            <w:pPr>
              <w:pStyle w:val="Heading4"/>
              <w:rPr>
                <w:rFonts w:ascii="Tw Cen MT" w:eastAsia="Tw Cen MT" w:hAnsi="Tw Cen MT"/>
                <w:lang w:val="hr-HR"/>
              </w:rPr>
            </w:pPr>
            <w:r w:rsidRPr="00F3088C">
              <w:rPr>
                <w:rFonts w:ascii="Tw Cen MT" w:eastAsia="Tw Cen MT" w:hAnsi="Tw Cen MT"/>
                <w:lang w:val="hr-HR"/>
              </w:rPr>
              <w:t>Č</w:t>
            </w:r>
            <w:r w:rsidRPr="00F3088C">
              <w:rPr>
                <w:rFonts w:ascii="Tw Cen MT" w:eastAsia="Tw Cen MT" w:hAnsi="Tw Cen MT"/>
              </w:rPr>
              <w:t>ETVRTAK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8:00-10:00</w:t>
            </w:r>
          </w:p>
        </w:tc>
        <w:tc>
          <w:tcPr>
            <w:tcW w:w="2480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cs-CZ"/>
              </w:rPr>
              <w:t>mr.sc. Predrag Saratlija</w:t>
            </w:r>
          </w:p>
        </w:tc>
        <w:tc>
          <w:tcPr>
            <w:tcW w:w="3017" w:type="dxa"/>
          </w:tcPr>
          <w:p w:rsidR="00425120" w:rsidRPr="00206FCB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Kineziološka metodika u integriranom kurikulu II (P)</w:t>
            </w:r>
          </w:p>
        </w:tc>
        <w:tc>
          <w:tcPr>
            <w:tcW w:w="1406" w:type="dxa"/>
          </w:tcPr>
          <w:p w:rsidR="00425120" w:rsidRPr="00206FCB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103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10:00-11:30</w:t>
            </w:r>
          </w:p>
        </w:tc>
        <w:tc>
          <w:tcPr>
            <w:tcW w:w="2480" w:type="dxa"/>
          </w:tcPr>
          <w:p w:rsidR="00425120" w:rsidRDefault="00425120" w:rsidP="00425120">
            <w:pPr>
              <w:rPr>
                <w:rFonts w:ascii="Tw Cen MT" w:eastAsia="Tw Cen MT" w:hAnsi="Tw Cen MT"/>
                <w:lang w:val="cs-CZ"/>
              </w:rPr>
            </w:pPr>
            <w:r>
              <w:rPr>
                <w:rFonts w:ascii="Tw Cen MT" w:eastAsia="Tw Cen MT" w:hAnsi="Tw Cen MT"/>
                <w:lang w:val="hr-HR"/>
              </w:rPr>
              <w:t>Doc.dr.sc. Diana Nenadić-  Bilan</w:t>
            </w:r>
          </w:p>
        </w:tc>
        <w:tc>
          <w:tcPr>
            <w:tcW w:w="3017" w:type="dxa"/>
          </w:tcPr>
          <w:p w:rsidR="00425120" w:rsidRDefault="00425120" w:rsidP="00425120">
            <w:pPr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Partnerstvo obitelji i predškolske ustanove (IZBORNI)</w:t>
            </w:r>
          </w:p>
        </w:tc>
        <w:tc>
          <w:tcPr>
            <w:tcW w:w="1406" w:type="dxa"/>
          </w:tcPr>
          <w:p w:rsidR="00425120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  <w:r>
              <w:rPr>
                <w:rFonts w:ascii="Tw Cen MT" w:eastAsia="Tw Cen MT" w:hAnsi="Tw Cen MT"/>
                <w:lang w:val="hr-HR"/>
              </w:rPr>
              <w:t>109</w:t>
            </w:r>
          </w:p>
        </w:tc>
      </w:tr>
      <w:tr w:rsidR="00425120" w:rsidRPr="00F3088C" w:rsidTr="00425120"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425120" w:rsidRPr="00F3088C" w:rsidRDefault="00425120" w:rsidP="00425120">
            <w:pPr>
              <w:pStyle w:val="Heading4"/>
              <w:rPr>
                <w:rFonts w:ascii="Tw Cen MT" w:eastAsia="Tw Cen MT" w:hAnsi="Tw Cen MT"/>
                <w:lang w:val="hr-HR"/>
              </w:rPr>
            </w:pPr>
            <w:r w:rsidRPr="00354450">
              <w:rPr>
                <w:rFonts w:ascii="Tw Cen MT" w:eastAsia="Tw Cen MT" w:hAnsi="Tw Cen MT"/>
                <w:lang w:val="pl-PL"/>
              </w:rPr>
              <w:t>PETAK</w:t>
            </w:r>
          </w:p>
        </w:tc>
      </w:tr>
      <w:tr w:rsidR="00425120" w:rsidRPr="00F3088C" w:rsidTr="00425120">
        <w:tc>
          <w:tcPr>
            <w:tcW w:w="1953" w:type="dxa"/>
          </w:tcPr>
          <w:p w:rsidR="00425120" w:rsidRPr="00F3088C" w:rsidRDefault="00425120" w:rsidP="00425120">
            <w:pPr>
              <w:jc w:val="both"/>
              <w:rPr>
                <w:rFonts w:ascii="Tw Cen MT" w:eastAsia="Tw Cen MT" w:hAnsi="Tw Cen MT"/>
                <w:lang w:val="hr-HR"/>
              </w:rPr>
            </w:pPr>
          </w:p>
        </w:tc>
        <w:tc>
          <w:tcPr>
            <w:tcW w:w="2480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</w:p>
        </w:tc>
        <w:tc>
          <w:tcPr>
            <w:tcW w:w="3017" w:type="dxa"/>
          </w:tcPr>
          <w:p w:rsidR="00425120" w:rsidRPr="00F3088C" w:rsidRDefault="00425120" w:rsidP="00425120">
            <w:pPr>
              <w:rPr>
                <w:rFonts w:ascii="Tw Cen MT" w:eastAsia="Tw Cen MT" w:hAnsi="Tw Cen MT"/>
                <w:lang w:val="hr-HR"/>
              </w:rPr>
            </w:pPr>
          </w:p>
        </w:tc>
        <w:tc>
          <w:tcPr>
            <w:tcW w:w="1406" w:type="dxa"/>
            <w:vAlign w:val="center"/>
          </w:tcPr>
          <w:p w:rsidR="00425120" w:rsidRPr="00F3088C" w:rsidRDefault="00425120" w:rsidP="00425120">
            <w:pPr>
              <w:jc w:val="right"/>
              <w:rPr>
                <w:rFonts w:ascii="Tw Cen MT" w:eastAsia="Tw Cen MT" w:hAnsi="Tw Cen MT"/>
                <w:lang w:val="hr-HR"/>
              </w:rPr>
            </w:pPr>
          </w:p>
        </w:tc>
      </w:tr>
    </w:tbl>
    <w:p w:rsidR="00425120" w:rsidRPr="00354450" w:rsidRDefault="00425120" w:rsidP="00425120">
      <w:pPr>
        <w:rPr>
          <w:rFonts w:ascii="Tw Cen MT" w:eastAsia="Tw Cen MT" w:hAnsi="Tw Cen MT"/>
          <w:lang w:val="pl-PL"/>
        </w:rPr>
      </w:pPr>
    </w:p>
    <w:p w:rsidR="00425120" w:rsidRPr="00354450" w:rsidRDefault="00425120" w:rsidP="00425120">
      <w:pPr>
        <w:rPr>
          <w:rFonts w:ascii="Tw Cen MT" w:eastAsia="Tw Cen MT" w:hAnsi="Tw Cen MT"/>
          <w:lang w:val="pl-PL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403D0F" w:rsidRDefault="00403D0F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425120" w:rsidRDefault="00425120" w:rsidP="00A3589D">
      <w:pPr>
        <w:tabs>
          <w:tab w:val="left" w:pos="2815"/>
        </w:tabs>
        <w:rPr>
          <w:sz w:val="22"/>
          <w:szCs w:val="22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lastRenderedPageBreak/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664678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664678">
              <w:rPr>
                <w:rFonts w:ascii="Times New Roman" w:hAnsi="Times New Roman" w:cs="Times New Roman"/>
                <w:b/>
              </w:rPr>
              <w:t>LIKOVNA METODIKA U INTEGRIRANOM KURIKULU 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64678">
              <w:rPr>
                <w:rFonts w:ascii="Times New Roman" w:hAnsi="Times New Roman" w:cs="Times New Roman"/>
                <w:sz w:val="20"/>
              </w:rPr>
              <w:t>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563236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188597845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71077460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89378701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24992504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715016045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3783046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135981886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84616893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06028575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0097373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955227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039406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6936524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751707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040255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06671973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2519063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521007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1806053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8719695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7853242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6351502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0723147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939842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20616895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6508570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20933748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0420891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334634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75402159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6021678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-419796202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dvorana 109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2. 10. 2019.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22. 1. 2020.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ih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Karmen TravirkaMarčina,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kmarcina 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Ponedjeljkom 13-14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64678">
              <w:rPr>
                <w:rFonts w:ascii="Times New Roman" w:hAnsi="Times New Roman" w:cs="Times New Roman"/>
                <w:sz w:val="18"/>
              </w:rPr>
              <w:t>Karmen TravirkaMarčina,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7088477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793227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7024089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6534076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91477403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35869535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1107747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3826531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6568249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830755909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</w:t>
            </w:r>
            <w:r w:rsidRPr="008C00D9">
              <w:rPr>
                <w:rFonts w:ascii="Times New Roman" w:hAnsi="Times New Roman" w:cs="Times New Roman"/>
                <w:sz w:val="18"/>
              </w:rPr>
              <w:t xml:space="preserve">  temeljne informacije iz metodike likovne kulture što studentima omogućuje pravilan odabir poticaja, likovnih tehnika i likovno- tehničkih sredstava u odnosu na psihofizički razvoj djece i razvojne faze likovnog izraza.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2C31">
              <w:rPr>
                <w:rFonts w:ascii="Times New Roman" w:hAnsi="Times New Roman" w:cs="Times New Roman"/>
                <w:sz w:val="18"/>
              </w:rPr>
              <w:t xml:space="preserve">Samostalnokonstruirati, implementiratiievaluirati u integriranomkurikulumuuukupnostisvihrazvojnihpodručja (kineziološkom, </w:t>
            </w:r>
            <w:r w:rsidRPr="00ED2C31">
              <w:rPr>
                <w:rFonts w:ascii="Times New Roman" w:hAnsi="Times New Roman" w:cs="Times New Roman"/>
                <w:sz w:val="18"/>
              </w:rPr>
              <w:lastRenderedPageBreak/>
              <w:t>glazbenom, jezično-komunikacijskom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teistra</w:t>
            </w:r>
            <w:r w:rsidRPr="00ED2C31">
              <w:rPr>
                <w:rFonts w:ascii="Times New Roman" w:hAnsi="Times New Roman" w:cs="Times New Roman"/>
                <w:sz w:val="18"/>
              </w:rPr>
              <w:t>ž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iva</w:t>
            </w:r>
            <w:r w:rsidRPr="00ED2C31">
              <w:rPr>
                <w:rFonts w:ascii="Times New Roman" w:hAnsi="Times New Roman" w:cs="Times New Roman"/>
                <w:sz w:val="18"/>
              </w:rPr>
              <w:t>č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ko</w:t>
            </w:r>
            <w:r w:rsidRPr="00ED2C31">
              <w:rPr>
                <w:rFonts w:ascii="Times New Roman" w:hAnsi="Times New Roman" w:cs="Times New Roman"/>
                <w:sz w:val="18"/>
              </w:rPr>
              <w:t>-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spoznajnom</w:t>
            </w:r>
            <w:r w:rsidRPr="00ED2C31">
              <w:rPr>
                <w:rFonts w:ascii="Times New Roman" w:hAnsi="Times New Roman" w:cs="Times New Roman"/>
                <w:sz w:val="18"/>
              </w:rPr>
              <w:t xml:space="preserve">) 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koriste</w:t>
            </w:r>
            <w:r w:rsidRPr="00ED2C31">
              <w:rPr>
                <w:rFonts w:ascii="Times New Roman" w:hAnsi="Times New Roman" w:cs="Times New Roman"/>
                <w:sz w:val="18"/>
              </w:rPr>
              <w:t>ć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iaktivnostiimaterijaleuskladusasuvremenimrazvojnimteorijamakojimasetuma</w:t>
            </w:r>
            <w:r w:rsidRPr="00ED2C31">
              <w:rPr>
                <w:rFonts w:ascii="Times New Roman" w:hAnsi="Times New Roman" w:cs="Times New Roman"/>
                <w:sz w:val="18"/>
              </w:rPr>
              <w:t>č</w:t>
            </w:r>
            <w:r w:rsidRPr="00ED2C31">
              <w:rPr>
                <w:rFonts w:ascii="Times New Roman" w:hAnsi="Times New Roman" w:cs="Times New Roman"/>
                <w:sz w:val="18"/>
                <w:lang w:val="de-DE"/>
              </w:rPr>
              <w:t>idjecjirazvoj</w:t>
            </w:r>
            <w:r w:rsidRPr="00ED2C31">
              <w:rPr>
                <w:rFonts w:ascii="Times New Roman" w:hAnsi="Times New Roman" w:cs="Times New Roman"/>
                <w:sz w:val="18"/>
              </w:rPr>
              <w:t>.</w:t>
            </w:r>
          </w:p>
          <w:p w:rsidR="00425120" w:rsidRPr="008C00D9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D2C31">
              <w:rPr>
                <w:rFonts w:ascii="Times New Roman" w:hAnsi="Times New Roman" w:cs="Times New Roman"/>
                <w:sz w:val="18"/>
              </w:rPr>
              <w:t>Razviti sklonost za timski rad, interakciju i suradnju utemeljenu na partnerskim odnosima</w:t>
            </w:r>
          </w:p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00D9">
              <w:rPr>
                <w:rFonts w:ascii="Times New Roman" w:hAnsi="Times New Roman" w:cs="Times New Roman"/>
                <w:sz w:val="18"/>
              </w:rPr>
              <w:t>Razviti kreativni dimenziji odgajatelja.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00D9">
              <w:rPr>
                <w:rFonts w:ascii="Times New Roman" w:hAnsi="Times New Roman" w:cs="Times New Roman"/>
                <w:sz w:val="18"/>
              </w:rPr>
              <w:t>Objasniti  temeljne pojmove iz metodike likovne kulture. Odabrati  poticaje, likovne tehnike i likovno- tehnička sredstava u odnosu na psihofizički razvoj djece i razvojne faze likovnog izraza.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555622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96060251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62643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0911235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3064134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84112380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330386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04640576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78677004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74787446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12350202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64474805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110104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7029269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9C56B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Obavljena praktična aktivnost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7430198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00601738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451977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Temeljni pojmovi</w:t>
            </w:r>
            <w:r w:rsidRPr="00B37BD3">
              <w:rPr>
                <w:rFonts w:ascii="Times New Roman" w:eastAsia="MS Gothic" w:hAnsi="Times New Roman" w:cs="Times New Roman"/>
                <w:sz w:val="18"/>
              </w:rPr>
              <w:t xml:space="preserve"> iz metod</w:t>
            </w:r>
            <w:r>
              <w:rPr>
                <w:rFonts w:ascii="Times New Roman" w:eastAsia="MS Gothic" w:hAnsi="Times New Roman" w:cs="Times New Roman"/>
                <w:sz w:val="18"/>
              </w:rPr>
              <w:t>ike likovne kulture.  Poticaji</w:t>
            </w:r>
            <w:bookmarkStart w:id="0" w:name="_GoBack"/>
            <w:bookmarkEnd w:id="0"/>
            <w:r w:rsidRPr="00B37BD3">
              <w:rPr>
                <w:rFonts w:ascii="Times New Roman" w:eastAsia="MS Gothic" w:hAnsi="Times New Roman" w:cs="Times New Roman"/>
                <w:sz w:val="18"/>
              </w:rPr>
              <w:t>, likovne tehnike i likovno- tehnička sredstava u odnosu na psihofizički razvoj djece i razvojne faze likovnog izraza.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Uvod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Ciljevi likovne metodike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Osnove interdisciplinarnosti likovne metodike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umjetnost (umjetničko djelo)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prostor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Faze razvoja dječjeg likovnog stvaralaštva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Faze razvoja dječjeg likovnog stvaralaštva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Kreativnost – poticanje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Kreativnost - ometanje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Povijesni razvoj likovnog odgoja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Praktične aktivnosti</w:t>
            </w:r>
          </w:p>
          <w:p w:rsidR="00425120" w:rsidRPr="00ED2C31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Dijete i vrtić u kulturnom životu lokalne zajednice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ED2C31">
              <w:rPr>
                <w:rFonts w:ascii="Times New Roman" w:eastAsia="MS Gothic" w:hAnsi="Times New Roman" w:cs="Times New Roman"/>
                <w:sz w:val="18"/>
              </w:rPr>
              <w:t>Ponavljanje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196E2F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Herceg, Rončević, Karlavaris, (2010.) Metodika likovne kulture djece rane i predškolske dobi, Zagreb, Alfa</w:t>
            </w:r>
          </w:p>
          <w:p w:rsidR="00425120" w:rsidRPr="00196E2F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Grgurić, N. I Jakubin, M., (1996.)Vizualno – likovni odgoj i obrazovanje, Zagreb, Educa,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Tanay, E. R., (1995.)Tehnike likovnog izražavanja od olovke o kompjutera, Zagreb, Naklada Zakej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96E2F">
              <w:rPr>
                <w:rFonts w:ascii="Times New Roman" w:eastAsia="MS Gothic" w:hAnsi="Times New Roman" w:cs="Times New Roman"/>
                <w:sz w:val="18"/>
              </w:rPr>
              <w:t>Belamarić, D., (1987.) Dijete i oblik, Zagreb, Školska knjiga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14" w:history="1">
              <w:r w:rsidR="00425120" w:rsidRPr="00196E2F">
                <w:rPr>
                  <w:rStyle w:val="Hyperlink"/>
                  <w:rFonts w:ascii="Times New Roman" w:eastAsia="MS Gothic" w:hAnsi="Times New Roman"/>
                  <w:sz w:val="18"/>
                </w:rPr>
                <w:t>www.wikipedia.com</w:t>
              </w:r>
            </w:hyperlink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49415121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98277143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6201446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3012624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48592839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31638897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8008083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</w:t>
            </w:r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96755197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44843512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488865112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pohađanja nastave (25 %) ,praktični rad (25 %),  </w:t>
            </w:r>
            <w:r w:rsidRPr="00196E2F">
              <w:rPr>
                <w:rFonts w:ascii="Times New Roman" w:eastAsia="MS Gothic" w:hAnsi="Times New Roman" w:cs="Times New Roman"/>
                <w:sz w:val="18"/>
              </w:rPr>
              <w:t>pismen</w:t>
            </w:r>
            <w:r>
              <w:rPr>
                <w:rFonts w:ascii="Times New Roman" w:eastAsia="MS Gothic" w:hAnsi="Times New Roman" w:cs="Times New Roman"/>
                <w:sz w:val="18"/>
              </w:rPr>
              <w:t>i ispit (50%)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&lt; 60 %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61 –70 %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71 –80 %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81 –90 %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7264EE">
              <w:rPr>
                <w:rFonts w:ascii="Times New Roman" w:hAnsi="Times New Roman" w:cs="Times New Roman"/>
                <w:sz w:val="18"/>
              </w:rPr>
              <w:t>91 –100 %</w:t>
            </w: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15387649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169172249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113370465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37839511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-2905167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 w:rsidP="00425120">
      <w:pPr>
        <w:rPr>
          <w:rFonts w:ascii="Georgia" w:hAnsi="Georgia"/>
          <w:sz w:val="24"/>
        </w:rPr>
      </w:pPr>
    </w:p>
    <w:p w:rsidR="00425120" w:rsidRDefault="00425120"/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tbl>
      <w:tblPr>
        <w:tblW w:w="9731" w:type="dxa"/>
        <w:tblInd w:w="108" w:type="dxa"/>
        <w:tblLayout w:type="fixed"/>
        <w:tblLook w:val="0000"/>
      </w:tblPr>
      <w:tblGrid>
        <w:gridCol w:w="1133"/>
        <w:gridCol w:w="710"/>
        <w:gridCol w:w="142"/>
        <w:gridCol w:w="7581"/>
        <w:gridCol w:w="165"/>
      </w:tblGrid>
      <w:tr w:rsidR="00E34C97" w:rsidTr="00E34C97">
        <w:trPr>
          <w:gridAfter w:val="1"/>
          <w:wAfter w:w="165" w:type="dxa"/>
          <w:trHeight w:val="32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Naziv kolegija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Kineziološka metodika u integriranom kurikulu II</w:t>
            </w: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>
              <w:t>Mr.sc. Predrag Saratlija</w:t>
            </w:r>
          </w:p>
          <w:p w:rsidR="00E34C97" w:rsidRDefault="00E34C97" w:rsidP="00E34C97">
            <w:r>
              <w:t>Dr.sc. Jelena Alić</w:t>
            </w:r>
          </w:p>
        </w:tc>
      </w:tr>
      <w:tr w:rsidR="00E34C97" w:rsidTr="00E34C97">
        <w:trPr>
          <w:gridAfter w:val="1"/>
          <w:wAfter w:w="165" w:type="dxa"/>
          <w:trHeight w:val="4906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b/>
                <w:bCs/>
              </w:rPr>
            </w:pPr>
            <w:r w:rsidRPr="008579F9">
              <w:rPr>
                <w:b/>
                <w:bCs/>
              </w:rPr>
              <w:t>Nakon položenog ispita iz ovoga kolegija studenti će biti sposobni:</w:t>
            </w:r>
          </w:p>
          <w:p w:rsidR="00E34C97" w:rsidRDefault="00E34C97" w:rsidP="00E34C97">
            <w:r>
              <w:t>Samostalno pisati pripremu za sat kineziološke kulture djece predškolske dobi</w:t>
            </w:r>
          </w:p>
          <w:p w:rsidR="00E34C97" w:rsidRDefault="00E34C97" w:rsidP="00E34C97">
            <w:r>
              <w:t>Samostalno izvoditi sat TZK u predškolskim ustanovama</w:t>
            </w:r>
          </w:p>
          <w:p w:rsidR="00E34C97" w:rsidRDefault="00E34C97" w:rsidP="00E34C97">
            <w:r>
              <w:t>Poznavati metodske postupke koje se koriste u kineziologiji u radu s djecom predškolske dobi</w:t>
            </w:r>
          </w:p>
        </w:tc>
      </w:tr>
      <w:tr w:rsidR="00E34C97" w:rsidTr="00E34C97">
        <w:trPr>
          <w:gridAfter w:val="1"/>
          <w:wAfter w:w="165" w:type="dxa"/>
          <w:trHeight w:val="32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pStyle w:val="BodyText21"/>
              <w:snapToGrid w:val="0"/>
              <w:rPr>
                <w:sz w:val="24"/>
              </w:rPr>
            </w:pP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Ispitna</w:t>
            </w:r>
          </w:p>
          <w:p w:rsidR="00E34C97" w:rsidRDefault="00E34C97" w:rsidP="00E34C97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  <w:rPr>
                <w:sz w:val="22"/>
                <w:szCs w:val="22"/>
              </w:rPr>
            </w:pPr>
            <w:r w:rsidRPr="00842747">
              <w:rPr>
                <w:sz w:val="22"/>
                <w:szCs w:val="22"/>
              </w:rPr>
              <w:t>Findak, V. i Delija, K. (2001). Tjelesna i zdravstvena kultura u predškolskom odgoju, priručnik za odgojitelje. Zagreb: Edip</w:t>
            </w:r>
          </w:p>
          <w:p w:rsidR="00E34C97" w:rsidRPr="00A3185F" w:rsidRDefault="00E34C97" w:rsidP="00E34C97">
            <w:pPr>
              <w:snapToGrid w:val="0"/>
              <w:rPr>
                <w:sz w:val="22"/>
                <w:szCs w:val="22"/>
              </w:rPr>
            </w:pPr>
            <w:r w:rsidRPr="00842747">
              <w:rPr>
                <w:sz w:val="22"/>
                <w:szCs w:val="22"/>
              </w:rPr>
              <w:t>Pejčić, A. (2005). Kineziološke aktivnosti za djecu predškolske i rane školske dobi. Rijeka: Visoka učiteljska škola.</w:t>
            </w:r>
          </w:p>
        </w:tc>
      </w:tr>
      <w:tr w:rsidR="00E34C97" w:rsidTr="00E34C97">
        <w:trPr>
          <w:gridAfter w:val="1"/>
          <w:wAfter w:w="165" w:type="dxa"/>
          <w:trHeight w:val="1684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/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  <w:r>
              <w:t>Predavanja i vježbe</w:t>
            </w:r>
          </w:p>
        </w:tc>
      </w:tr>
      <w:tr w:rsidR="00E34C97" w:rsidTr="00E34C97">
        <w:trPr>
          <w:gridAfter w:val="1"/>
          <w:wAfter w:w="165" w:type="dxa"/>
          <w:trHeight w:val="338"/>
        </w:trPr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Način provjere znanja i polaganja ispita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822C10" w:rsidRDefault="00E34C97" w:rsidP="00E34C97">
            <w:pPr>
              <w:snapToGrid w:val="0"/>
              <w:rPr>
                <w:rFonts w:cs="Arial"/>
              </w:rPr>
            </w:pPr>
          </w:p>
        </w:tc>
      </w:tr>
      <w:tr w:rsidR="00E34C97" w:rsidTr="00E34C97">
        <w:trPr>
          <w:gridAfter w:val="1"/>
          <w:wAfter w:w="165" w:type="dxa"/>
          <w:trHeight w:val="326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34C97" w:rsidRDefault="00E34C97" w:rsidP="00E34C97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pPr>
              <w:snapToGrid w:val="0"/>
            </w:pPr>
            <w:r>
              <w:t>hrvatski</w:t>
            </w:r>
          </w:p>
        </w:tc>
      </w:tr>
      <w:tr w:rsidR="00E34C97" w:rsidTr="00E34C97">
        <w:trPr>
          <w:trHeight w:val="552"/>
        </w:trPr>
        <w:tc>
          <w:tcPr>
            <w:tcW w:w="97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Vježbe</w:t>
            </w:r>
          </w:p>
        </w:tc>
      </w:tr>
      <w:tr w:rsidR="00E34C97" w:rsidTr="00E34C97">
        <w:trPr>
          <w:trHeight w:val="55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SATI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SADRŽAJ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C97" w:rsidRDefault="00E34C97" w:rsidP="00E34C9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Razvojne karakteristike djece u ranom djetinjstvu </w:t>
            </w:r>
          </w:p>
          <w:p w:rsidR="00E34C97" w:rsidRPr="0072393D" w:rsidRDefault="00E34C97" w:rsidP="00E34C97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Obilježja kretanja djece predškolske dobi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FF27E8" w:rsidRDefault="00E34C97" w:rsidP="00E34C97">
            <w:r w:rsidRPr="00FF27E8">
              <w:t>Sat tjelesne i zdravstvene kulture- Uvodni dio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Pr="00FF27E8" w:rsidRDefault="00E34C97" w:rsidP="00E34C97">
            <w:r w:rsidRPr="00FF27E8">
              <w:t xml:space="preserve">Sat </w:t>
            </w:r>
            <w:r>
              <w:t>tjelesne i zdravstvene kulture- P</w:t>
            </w:r>
            <w:r w:rsidRPr="00FF27E8">
              <w:t>ripremni dio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FF27E8">
              <w:t>Sat tjelesne i zdravstvene kulture- Glavni A dio</w:t>
            </w:r>
          </w:p>
          <w:p w:rsidR="00E34C97" w:rsidRPr="00FF27E8" w:rsidRDefault="00E34C97" w:rsidP="00E34C97">
            <w:r>
              <w:t>Hodanje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9E5DB4">
              <w:t>Sat tjelesne i zdravstvene kulture- Glavni A dio</w:t>
            </w:r>
          </w:p>
          <w:p w:rsidR="00E34C97" w:rsidRPr="00FF27E8" w:rsidRDefault="00E34C97" w:rsidP="00E34C97">
            <w:r>
              <w:t>Trčanje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Skakanje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Bacanje, hvatanje i gađanje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Dizanje i nošenje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Puzanje i provlačenje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lastRenderedPageBreak/>
              <w:t>Penjanje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Potiskivanje i vučenje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Kotrljanje i kolutanje</w:t>
            </w:r>
          </w:p>
        </w:tc>
      </w:tr>
      <w:tr w:rsidR="00E34C97" w:rsidRPr="0072393D" w:rsidTr="00E34C97">
        <w:trPr>
          <w:trHeight w:val="569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Ples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 i zdravstvene kulture- Glavni A dio</w:t>
            </w:r>
          </w:p>
          <w:p w:rsidR="00E34C97" w:rsidRDefault="00E34C97" w:rsidP="00E34C97">
            <w:r>
              <w:t>Igra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</w:t>
            </w:r>
            <w:r>
              <w:t xml:space="preserve"> i zdravstvene kulture- Glavni B</w:t>
            </w:r>
            <w:r w:rsidRPr="003878A8">
              <w:t xml:space="preserve"> dio</w:t>
            </w:r>
          </w:p>
        </w:tc>
      </w:tr>
      <w:tr w:rsidR="00E34C97" w:rsidRPr="0072393D" w:rsidTr="00E34C97">
        <w:trPr>
          <w:trHeight w:val="25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Pr="004E42FD" w:rsidRDefault="00E34C97" w:rsidP="00E34C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C97" w:rsidRDefault="00E34C97" w:rsidP="00E34C97">
            <w:r w:rsidRPr="004E42FD">
              <w:t>1</w:t>
            </w:r>
          </w:p>
        </w:tc>
        <w:tc>
          <w:tcPr>
            <w:tcW w:w="7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97" w:rsidRDefault="00E34C97" w:rsidP="00E34C97">
            <w:r w:rsidRPr="003878A8">
              <w:t>Sat tjelesne</w:t>
            </w:r>
            <w:r>
              <w:t xml:space="preserve"> i zdravstvene kulture- Završni dio</w:t>
            </w:r>
            <w:r w:rsidRPr="003878A8">
              <w:t xml:space="preserve"> dio</w:t>
            </w:r>
          </w:p>
        </w:tc>
      </w:tr>
    </w:tbl>
    <w:p w:rsidR="00E34C97" w:rsidRDefault="00E34C97" w:rsidP="00A3589D">
      <w:pPr>
        <w:tabs>
          <w:tab w:val="left" w:pos="2815"/>
        </w:tabs>
        <w:rPr>
          <w:sz w:val="22"/>
          <w:szCs w:val="22"/>
        </w:rPr>
      </w:pPr>
    </w:p>
    <w:p w:rsidR="00750D2F" w:rsidRDefault="00750D2F" w:rsidP="00A3589D">
      <w:pPr>
        <w:tabs>
          <w:tab w:val="left" w:pos="2815"/>
        </w:tabs>
        <w:rPr>
          <w:sz w:val="22"/>
          <w:szCs w:val="22"/>
        </w:rPr>
      </w:pPr>
    </w:p>
    <w:p w:rsidR="00183EED" w:rsidRPr="00AA1A5A" w:rsidRDefault="00183EED" w:rsidP="003F17B8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3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462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A7BD8">
              <w:rPr>
                <w:rFonts w:ascii="Times New Roman" w:hAnsi="Times New Roman" w:cs="Times New Roman"/>
                <w:b/>
                <w:sz w:val="20"/>
              </w:rPr>
              <w:t>Dječje stvaralaštvo u pokretu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A7BD8">
              <w:rPr>
                <w:rFonts w:ascii="Times New Roman" w:hAnsi="Times New Roman" w:cs="Times New Roman"/>
                <w:sz w:val="20"/>
              </w:rPr>
              <w:t>Sveučilišni preddiplomski studij ranog i predškolskog odgoja i obrazovanja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83EED" w:rsidRPr="004923F4" w:rsidRDefault="00183EE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Sveučilište u Zadru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83EED" w:rsidRPr="004923F4" w:rsidRDefault="00183E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4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59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596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7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8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83EED" w:rsidRPr="004923F4" w:rsidRDefault="00183EE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9599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0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1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0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06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8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09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0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2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4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5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16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83EED" w:rsidRPr="004923F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17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1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83EED" w:rsidRPr="004923F4" w:rsidRDefault="00183EE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19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2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21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3EED" w:rsidRPr="009947BA" w:rsidTr="008955C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4923F4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183EED" w:rsidRPr="004923F4" w:rsidRDefault="00183EED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83EED" w:rsidRPr="004923F4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2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962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83EED" w:rsidRDefault="00183E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Dvorana Višnjik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Pr="009A284F" w:rsidRDefault="00183EED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83EED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3EED" w:rsidRPr="009947BA" w:rsidRDefault="00183EED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83EED" w:rsidRDefault="00183EE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83EED" w:rsidRDefault="00183EE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7361E7" w:rsidRDefault="00183E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Jelena Alić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 10-12h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F3B71">
              <w:rPr>
                <w:rFonts w:ascii="Times New Roman" w:hAnsi="Times New Roman" w:cs="Times New Roman"/>
                <w:sz w:val="18"/>
              </w:rPr>
              <w:t>Doc.dr.sc. Jelena Alić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F3B71">
              <w:rPr>
                <w:rFonts w:ascii="Times New Roman" w:hAnsi="Times New Roman" w:cs="Times New Roman"/>
                <w:sz w:val="18"/>
              </w:rPr>
              <w:t>jcetinic@unizd.hr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B4202A" w:rsidRDefault="00183EE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7361E7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5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183EE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7"/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8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29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0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1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2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3"/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3EED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Opće kompetencije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 xml:space="preserve">Demonstrirati temeljno poznavanje  sadržaja koji proizlaze iz programa tjelesne i zdravstvene kulture, a odnose se na pokretne igre, plesne strukture i sadržaje ritmike. Razviti sposobnost za samostalnu organizaciju i  provođenje kinezioloških aktivnosti u okviru predškolskog odgojno- obrazovnog procesa. 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Specifične kompetencije</w:t>
            </w:r>
          </w:p>
          <w:p w:rsidR="00183EED" w:rsidRPr="00B4202A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Demonstrirati znanje za učinkovito i efikasno provođenje kinezioloških sadržaja u skladu sa razvojnim značajkama djeteta. Demonstrirati znanje o plesnim strukturama i metodskim postupcima usvajanja; koje se kroz igru primjenjuju u predškolskom uzrastu, a kod djece omogućuju razvijanje estetske kulture pokreta povezivanjem raznolikih struktura gibanja s elementima glazbenoga izražavanja.</w:t>
            </w:r>
          </w:p>
        </w:tc>
      </w:tr>
      <w:tr w:rsidR="00183EED" w:rsidRPr="009947BA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955C0">
              <w:rPr>
                <w:rFonts w:ascii="Times New Roman" w:hAnsi="Times New Roman" w:cs="Times New Roman"/>
                <w:sz w:val="18"/>
              </w:rPr>
              <w:t>Ishodi učenja: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demonstrirati znanje iz temeljnih znanosti i njihovih disciplina kojima se tumače zakonitosti, pojave i procesi u profesionalnom polju rada, na teorijskoj i praktičnoj razini;</w:t>
            </w:r>
          </w:p>
          <w:p w:rsidR="00183EED" w:rsidRPr="008955C0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praksu;</w:t>
            </w:r>
          </w:p>
          <w:p w:rsidR="00183EED" w:rsidRPr="00B4202A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</w:t>
            </w:r>
            <w:r w:rsidRPr="008955C0">
              <w:rPr>
                <w:rFonts w:ascii="Times New Roman" w:hAnsi="Times New Roman" w:cs="Times New Roman"/>
                <w:sz w:val="18"/>
              </w:rPr>
              <w:t>samostalno konstruirati, implementirati i evaluirati integrirani kurikul u ukupnosti svih razvojnih područja (kineziološkom, glazbenom, likovnom, jezično-komunikacijskom te istraživačko-spoznajnom) koristeći aktivnosti i materijale u skladu sa suvremenim razvojnim teorijama kojima se tumači dječji razvoj;</w:t>
            </w:r>
          </w:p>
        </w:tc>
      </w:tr>
      <w:tr w:rsidR="00183EED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5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6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7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39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0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1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2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3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3EED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4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7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83EED" w:rsidRPr="00DE6D53" w:rsidRDefault="00183EED" w:rsidP="00895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955C0">
              <w:rPr>
                <w:rFonts w:ascii="Times New Roman" w:eastAsia="MS Gothic" w:hAnsi="Times New Roman" w:cs="Times New Roman"/>
                <w:sz w:val="18"/>
              </w:rPr>
              <w:t>Studenti koji su redovito sudjelovali na nastavi mogu pristupiti pismenom ispitu, a nakon položenog pismenog dijela ispita mogu pristupiti usmenom ispitu.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49"/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14088">
              <w:rPr>
                <w:rFonts w:ascii="Times New Roman" w:eastAsia="MS Gothic" w:hAnsi="Times New Roman" w:cs="Times New Roman"/>
                <w:sz w:val="18"/>
              </w:rPr>
              <w:t>Učenje i usavršavanje teorijskih i praktičnih kinezioloških znanja o pokretnim igrama primjenjivih u radu sa djecom predškolske dobi. Poticati dječje stvaralaštvo igrom, plesom i pokretom.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Anatomsko fiziološke karakteristike djece predškolske dobi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Analiza Igre- forme i sadržaji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Pokretne igre u učionici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 xml:space="preserve"> Iluzorne igre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 xml:space="preserve">Dječje igre u dvorani,  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916778">
              <w:rPr>
                <w:rFonts w:ascii="Times New Roman" w:eastAsia="MS Gothic" w:hAnsi="Times New Roman" w:cs="Times New Roman"/>
                <w:sz w:val="18"/>
              </w:rPr>
              <w:t>Dječje igre na otvorenom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eastAsia="MS Gothic" w:hAnsi="Times New Roman" w:cs="Times New Roman"/>
                <w:sz w:val="18"/>
              </w:rPr>
              <w:t>Dijete i ritmika,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Štafetne igre,</w:t>
            </w:r>
          </w:p>
          <w:p w:rsidR="00183EED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Momčadske igre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Plesne igre</w:t>
            </w:r>
            <w:r>
              <w:rPr>
                <w:rFonts w:ascii="Times New Roman" w:eastAsia="MS Gothic" w:hAnsi="Times New Roman" w:cs="Times New Roman"/>
                <w:sz w:val="18"/>
              </w:rPr>
              <w:t>,Dječji plesovi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Jednostavn</w:t>
            </w:r>
            <w:r>
              <w:rPr>
                <w:rFonts w:ascii="Times New Roman" w:eastAsia="MS Gothic" w:hAnsi="Times New Roman" w:cs="Times New Roman"/>
                <w:sz w:val="18"/>
              </w:rPr>
              <w:t>e forme narodnih plesova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>Jednostavne forme društvenih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>Dječje stvaralaštvo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 xml:space="preserve"> s djecom s posebnim potrebama (</w:t>
            </w:r>
            <w:r>
              <w:rPr>
                <w:rFonts w:ascii="Times New Roman" w:eastAsia="MS Gothic" w:hAnsi="Times New Roman" w:cs="Times New Roman"/>
                <w:sz w:val="18"/>
              </w:rPr>
              <w:t>autizam, down</w:t>
            </w:r>
            <w:r w:rsidRPr="008955C0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eastAsia="MS Gothic" w:hAnsi="Times New Roman" w:cs="Times New Roman"/>
                <w:sz w:val="18"/>
              </w:rPr>
              <w:t>Dječje stvaralaštvo s djecom s posebnim potrebama (motorički hendikep)</w:t>
            </w:r>
          </w:p>
          <w:p w:rsidR="00183EED" w:rsidRPr="008955C0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t xml:space="preserve">Organizacija i provedba priredbe 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Allue, J. M. (2003). Velika knjiga igara. Zagreb: Profil.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Bošnjak, B. (2004). 200 igara (drugi dio) – igre na otvorenom. MiB,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Britton, L. (2000). Montessori učenje kroz igru : za djecu od 2 do 6 godina : priručnik za roditelje. Zagreb: Henacom.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Cetinić, J., Cetinić, V. i Vidaković Samaržija, D (2011). Ples kao sredstvo izražavanja djece predškolske dobi Međunarodni znanstveno-stručni skup „Dijete i estetski izričaji“ od 13-14. svibnja.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Čuturić, N. (1993). Prve tri godine života. Zagreb: Školska knjiga.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Dinter., T., Letica., A., AtanasovPiljek D. (2006). Dječje igre na otvorenom, Alca script,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Findak, V. i Delija, K. (2001). Tjelesna i zdravstvena kultura u predškolskom odgoju, priručnik za odgojitelje. Zagreb: Edip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Goldberg, S. (2003). Razvojne igre za predškolsko dijete : individualizirani program igre i učenja. Lekenik : Ostvarenje.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Grčić-Zubčević, N. i Marinović, V. (2009). 300 igara u vodi za djecu predškolske dobi. Sveučilišni priručnik. Biblioteka „Nauči plivati“, Zagreb.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Herljević,I. (2007). Govor, ritam, pokret. Lekenik : Ostvarenje.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Koritnik, M. (1970). 2000 igara – igre motorike. Zagreb: NIP „Sportska štampa“.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KurjanManestar, V. (2002). Vježbajmo zajedno. Profil international.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Pejčić, A. (2005). Kineziološke aktivnosti za djecu predškolske i rane školske dobi. Rijeka: Visoka učiteljska škola.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Peteh, M. (2003). Radost stvaranja. Zagreb : Alinea.</w:t>
            </w:r>
          </w:p>
          <w:p w:rsidR="00183EED" w:rsidRPr="009947B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Vlašić, J., Oreb, G., Horvatin-Fučkar, M. (2007.). Prednosti primjene plesa u radu s djecom predškolske dobi. U M. Andrijašević (ur.), Sport za sve u funkciji unapređenja kvalitete života (str. 239-244). Zagreb: Kineziološki fakultet Sveučilišta u Zagrebu.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Bonacin, D., Bonacin, D., Rokvić O. (2010). Strukturalne promjene motoričkih značajki kod predškolske djece pod utjecajem plesnih sadržaja, 2nd International ScientificConference "Anthropologicalaspectsof sport, physicaleducationandrecreation" Banja Luka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 xml:space="preserve">Horvatin-Fučkar, M., Tkalčić, S., Jerković, S. (2004). Razvoj bazičnih motoričkih sposobnosti kod predškolaca u plesnoj školi. In R. Pišot, V. Štemberger, J. Zurc&amp; A. Obid (Eds.), 3. International </w:t>
            </w:r>
            <w:r w:rsidRPr="005B52C1">
              <w:rPr>
                <w:rFonts w:ascii="Times New Roman" w:eastAsia="MS Gothic" w:hAnsi="Times New Roman" w:cs="Times New Roman"/>
                <w:sz w:val="18"/>
              </w:rPr>
              <w:lastRenderedPageBreak/>
              <w:t>Symposium; “A childinmotion” (pp 87-88). Koper: Univerza na Primorskem, Znanstvenoraziskovalnosredišče.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Jakovljević, T. (2009). Dečije igre kao model folklorne komunikacije, Etnološka istraživanja,Vol 1 no 14; 31-50.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Mikulić, M. (2007.). Hrvatska plesna tradicija i predškolska dob. Diplomski rad. Petrinja: Visoka učiteljska škola.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Šagud, M. (2000). Značaj igre za djetetov razvoj. Zbornik radova. Znanstveno stručno savjetovanje „Slobodno vrijeme i igra“ Zagreb; str. 67-73.</w:t>
            </w:r>
          </w:p>
          <w:p w:rsidR="00183EED" w:rsidRPr="005B52C1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Šumanović, M., Filipović, V., Sentkiralji, G., (2005). Plesne strukture djece mlađe školske dobi, Život i škola, No. 14, Vol. 2, str. 40- 45.</w:t>
            </w:r>
          </w:p>
          <w:p w:rsidR="00183EED" w:rsidRPr="009947B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B52C1">
              <w:rPr>
                <w:rFonts w:ascii="Times New Roman" w:eastAsia="MS Gothic" w:hAnsi="Times New Roman" w:cs="Times New Roman"/>
                <w:sz w:val="18"/>
              </w:rPr>
              <w:t>Teodorović, B.; Levandovski, D.; Pintarić Mlinar, Lj.; Kiš-Glavaš, L.(1997). Stimulacija perceptivnih i motoričkih sposobnosti. - Zagreb : Fakultet za defektologiju Sveučiliša u Zagrebu.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Zbornici on line (ljetna škola kineziologa)</w:t>
            </w: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3EED" w:rsidRPr="00C02454" w:rsidRDefault="00183EED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83EED" w:rsidRPr="00C02454" w:rsidRDefault="00183EE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3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4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Pr="00C02454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5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6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7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8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3EED" w:rsidRPr="00C02454" w:rsidRDefault="00183EE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83EED" w:rsidRPr="00C02454" w:rsidRDefault="00183E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59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83EED" w:rsidRPr="00C02454" w:rsidRDefault="00183EE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0"/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83EED" w:rsidRPr="00B7307A" w:rsidRDefault="00183EED" w:rsidP="005B52C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 50% </w:t>
            </w:r>
            <w:r>
              <w:rPr>
                <w:rFonts w:ascii="Times New Roman" w:eastAsia="MS Gothic" w:hAnsi="Times New Roman" w:cs="Times New Roman"/>
                <w:sz w:val="18"/>
              </w:rPr>
              <w:t>pismeni završni ispit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, 50% završni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183EE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83EED" w:rsidRPr="00B4202A" w:rsidRDefault="00183EE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3EED" w:rsidRPr="009947BA" w:rsidRDefault="00183EED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3EE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83EED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3EED" w:rsidRPr="00B7307A" w:rsidRDefault="00183EE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</w:t>
            </w:r>
          </w:p>
        </w:tc>
        <w:tc>
          <w:tcPr>
            <w:tcW w:w="6390" w:type="dxa"/>
            <w:gridSpan w:val="26"/>
            <w:vAlign w:val="center"/>
          </w:tcPr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3EED" w:rsidRPr="009947BA" w:rsidRDefault="00183EE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966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3EE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83EED" w:rsidRPr="009947BA" w:rsidRDefault="00183EED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83EED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6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183EED" w:rsidRPr="00684BBC" w:rsidRDefault="00183EED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3EED" w:rsidRPr="009947BA" w:rsidRDefault="00183EED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183EED" w:rsidRPr="00386E9C" w:rsidRDefault="00183EED">
      <w:pPr>
        <w:rPr>
          <w:rFonts w:ascii="Georgia" w:hAnsi="Georgia"/>
          <w:sz w:val="24"/>
        </w:rPr>
      </w:pPr>
    </w:p>
    <w:p w:rsidR="0082165F" w:rsidRDefault="0082165F" w:rsidP="00A3589D">
      <w:pPr>
        <w:tabs>
          <w:tab w:val="left" w:pos="28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2165F" w:rsidRDefault="0082165F" w:rsidP="0082165F">
      <w:pPr>
        <w:rPr>
          <w:sz w:val="22"/>
          <w:szCs w:val="22"/>
        </w:rPr>
      </w:pPr>
    </w:p>
    <w:p w:rsidR="0082165F" w:rsidRPr="00694D5E" w:rsidRDefault="0082165F" w:rsidP="0082165F">
      <w:pPr>
        <w:rPr>
          <w:sz w:val="22"/>
          <w:szCs w:val="22"/>
        </w:rPr>
      </w:pPr>
    </w:p>
    <w:p w:rsidR="0082165F" w:rsidRDefault="0082165F" w:rsidP="0082165F"/>
    <w:p w:rsidR="0082165F" w:rsidRDefault="0082165F" w:rsidP="0082165F"/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4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Glazbena metodika u integriranom kurikulumu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preddiplomski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799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5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0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0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1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0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4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2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02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0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031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Uč. 103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Pon. od 10i30 do 12i30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336C4B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6C4B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336C4B">
              <w:rPr>
                <w:rFonts w:ascii="Times New Roman" w:hAnsi="Times New Roman" w:cs="Times New Roman"/>
                <w:b/>
                <w:sz w:val="18"/>
                <w:szCs w:val="20"/>
              </w:rPr>
              <w:t>20.1. 2020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Snježana Habuš Rončević, prof.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snjezana.roncevic@unizd.hr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B6020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0204">
              <w:rPr>
                <w:rFonts w:ascii="Times New Roman" w:hAnsi="Times New Roman" w:cs="Times New Roman"/>
                <w:sz w:val="18"/>
              </w:rPr>
              <w:t>Srijeda 11 do 12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0204">
              <w:rPr>
                <w:rFonts w:ascii="Times New Roman" w:hAnsi="Times New Roman" w:cs="Times New Roman"/>
                <w:sz w:val="18"/>
              </w:rPr>
              <w:t>četvrtak od 17i30 do 18i30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Suradnik na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5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7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39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0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1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0E01C8" w:rsidRDefault="00425120" w:rsidP="00425120">
            <w:pPr>
              <w:rPr>
                <w:b/>
                <w:sz w:val="20"/>
                <w:szCs w:val="20"/>
                <w:lang w:eastAsia="hr-HR"/>
              </w:rPr>
            </w:pPr>
            <w:r w:rsidRPr="000E01C8">
              <w:rPr>
                <w:b/>
                <w:sz w:val="20"/>
                <w:szCs w:val="20"/>
                <w:lang w:eastAsia="hr-HR"/>
              </w:rPr>
              <w:t>Opće kompetencije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metodički pristup za rad s djecom predškolske dobi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kritički i estetski osvrt prema glazbenim djelima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demonstracije i korištenje osnovnih elemenata glazbenog sluha u kreativnom glazbenom izrazu</w:t>
            </w: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aktivnim sudjelovanjem kod predavanja i vježbi, točnije pjevanjem dječjih pjesmica i simulacijom aktivnosti biti osposobljeni za učenje pjesme i samostalno izvođenje što će kontinuiranim radom u vrtiću omogućiti razvijanje muzikalnosti i glazbenog sluha, ritma i glazbenih elemenata, izrade pojedinih komponenata (ritma, melodije) i ponavljanja melodija kod aktivnosti pjevanja</w:t>
            </w: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  <w:r w:rsidRPr="000E01C8">
              <w:rPr>
                <w:b/>
                <w:sz w:val="20"/>
                <w:szCs w:val="20"/>
                <w:lang w:eastAsia="hr-HR"/>
              </w:rPr>
              <w:t>Specifične kompetencije</w:t>
            </w:r>
          </w:p>
          <w:p w:rsidR="00425120" w:rsidRPr="000E01C8" w:rsidRDefault="00425120" w:rsidP="0042512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  <w:p w:rsidR="00425120" w:rsidRPr="000E01C8" w:rsidRDefault="00425120" w:rsidP="00423E5C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>studenti koji su se odlučili za zvanje odgojitelja trebaju imati prije svega želju za stjecanjem  znanja, vještina i kompetencija te određenu ljubav i sklonost glazbi i kreativnosti, što će moći prenositi na djecu</w:t>
            </w:r>
          </w:p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B4202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4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2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Pohađanje nastave, održana prezentacija i praktični rad.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7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8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 i 19.2. 2020</w:t>
            </w: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9730" w:type="dxa"/>
              <w:tblInd w:w="108" w:type="dxa"/>
              <w:tblLayout w:type="fixed"/>
              <w:tblLook w:val="0000"/>
            </w:tblPr>
            <w:tblGrid>
              <w:gridCol w:w="9730"/>
            </w:tblGrid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rFonts w:eastAsia="Calibri"/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 xml:space="preserve">Osnovna metoda glazbenog odgojno-obrazovnog rada: </w:t>
                  </w:r>
                </w:p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>metoda glazbene recepcije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rFonts w:eastAsia="Calibri"/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 xml:space="preserve">Didaktičke komponente glazbenog odgoja </w:t>
                  </w:r>
                </w:p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rFonts w:eastAsia="Calibri"/>
                      <w:sz w:val="20"/>
                    </w:rPr>
                    <w:t>(principi i načela)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Glazba u predškolskom odgoju; vokalna glazba, instrumentalna glazba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Metodički postupci: glazbena motivacija, glazbena demonstracija, glazbena komunikacija i ostale posredne metode rada: metoda razgovora, metoda demonstracije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Konkretizacija pismene pripreme za samostalnu integriranu glazbenu aktivnost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Glazbene didaktičke igre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sz w:val="20"/>
                    </w:rPr>
                  </w:pPr>
                </w:p>
                <w:p w:rsidR="00425120" w:rsidRPr="00B86615" w:rsidRDefault="00425120" w:rsidP="00425120">
                  <w:pPr>
                    <w:tabs>
                      <w:tab w:val="left" w:pos="468"/>
                    </w:tabs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 xml:space="preserve">Igre s pjevanjem 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Integracija i korelacija nekih glazbenih elemenata u različitim područjima dječjih aktivnosti</w:t>
                  </w:r>
                </w:p>
              </w:tc>
            </w:tr>
            <w:tr w:rsidR="00425120" w:rsidRPr="00B86615" w:rsidTr="00425120">
              <w:trPr>
                <w:trHeight w:val="518"/>
              </w:trPr>
              <w:tc>
                <w:tcPr>
                  <w:tcW w:w="78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5120" w:rsidRPr="00B86615" w:rsidRDefault="00425120" w:rsidP="00425120">
                  <w:pPr>
                    <w:snapToGrid w:val="0"/>
                    <w:rPr>
                      <w:sz w:val="20"/>
                    </w:rPr>
                  </w:pPr>
                  <w:r w:rsidRPr="00B86615">
                    <w:rPr>
                      <w:sz w:val="20"/>
                    </w:rPr>
                    <w:t>Metodička obrada pjesmica</w:t>
                  </w:r>
                </w:p>
              </w:tc>
            </w:tr>
            <w:tr w:rsidR="00425120" w:rsidTr="00425120">
              <w:trPr>
                <w:trHeight w:val="253"/>
              </w:trPr>
              <w:tc>
                <w:tcPr>
                  <w:tcW w:w="7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tbl>
                  <w:tblPr>
                    <w:tblW w:w="9731" w:type="dxa"/>
                    <w:tblInd w:w="108" w:type="dxa"/>
                    <w:tblLayout w:type="fixed"/>
                    <w:tblLook w:val="0000"/>
                  </w:tblPr>
                  <w:tblGrid>
                    <w:gridCol w:w="9731"/>
                  </w:tblGrid>
                  <w:tr w:rsidR="00425120" w:rsidRPr="00B86615" w:rsidTr="00425120">
                    <w:trPr>
                      <w:trHeight w:val="518"/>
                    </w:trPr>
                    <w:tc>
                      <w:tcPr>
                        <w:tcW w:w="7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bCs/>
                            <w:sz w:val="20"/>
                          </w:rPr>
                        </w:pPr>
                        <w:r w:rsidRPr="00B86615">
                          <w:rPr>
                            <w:bCs/>
                            <w:sz w:val="20"/>
                          </w:rPr>
                          <w:t>Rad na glazbenim primjerima(pjesmice i brojalice)</w:t>
                        </w:r>
                      </w:p>
                    </w:tc>
                  </w:tr>
                  <w:tr w:rsidR="00425120" w:rsidRPr="00B86615" w:rsidTr="00425120">
                    <w:trPr>
                      <w:trHeight w:val="518"/>
                    </w:trPr>
                    <w:tc>
                      <w:tcPr>
                        <w:tcW w:w="7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bCs/>
                            <w:sz w:val="20"/>
                          </w:rPr>
                        </w:pPr>
                        <w:r w:rsidRPr="00B86615">
                          <w:rPr>
                            <w:bCs/>
                            <w:sz w:val="20"/>
                          </w:rPr>
                          <w:t xml:space="preserve">Upoznavanje sa Orffovim instrumentarijem </w:t>
                        </w:r>
                      </w:p>
                    </w:tc>
                  </w:tr>
                  <w:tr w:rsidR="00425120" w:rsidRPr="00B86615" w:rsidTr="00425120">
                    <w:trPr>
                      <w:trHeight w:val="253"/>
                    </w:trPr>
                    <w:tc>
                      <w:tcPr>
                        <w:tcW w:w="7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25120" w:rsidRPr="00B86615" w:rsidRDefault="00425120" w:rsidP="00425120">
                        <w:pPr>
                          <w:snapToGrid w:val="0"/>
                          <w:rPr>
                            <w:sz w:val="20"/>
                          </w:rPr>
                        </w:pPr>
                        <w:r w:rsidRPr="00B86615">
                          <w:rPr>
                            <w:sz w:val="20"/>
                          </w:rPr>
                          <w:t>Slušanje glazbenih primjera</w:t>
                        </w:r>
                      </w:p>
                    </w:tc>
                  </w:tr>
                </w:tbl>
                <w:p w:rsidR="00425120" w:rsidRDefault="00425120" w:rsidP="00425120">
                  <w:pPr>
                    <w:snapToGrid w:val="0"/>
                  </w:pPr>
                </w:p>
              </w:tc>
            </w:tr>
          </w:tbl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Jurišić, G., Sam Palmić, R.,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Brojalica snažni glazbeni poticaj</w:t>
            </w:r>
            <w:r w:rsidRPr="000E01C8">
              <w:rPr>
                <w:sz w:val="20"/>
                <w:szCs w:val="20"/>
                <w:lang w:eastAsia="hr-HR"/>
              </w:rPr>
              <w:t>, Adamić, Rijeka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Sam, R., (1998), </w:t>
            </w:r>
            <w:r w:rsidRPr="000E01C8">
              <w:rPr>
                <w:b/>
                <w:sz w:val="20"/>
                <w:szCs w:val="20"/>
                <w:lang w:eastAsia="hr-HR"/>
              </w:rPr>
              <w:t>Glazbeni doživljaj u odgoju djeteta</w:t>
            </w:r>
            <w:r w:rsidRPr="000E01C8">
              <w:rPr>
                <w:sz w:val="20"/>
                <w:szCs w:val="20"/>
                <w:lang w:eastAsia="hr-HR"/>
              </w:rPr>
              <w:t>, Glosa, Rijeka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Njirić, N., (1985), </w:t>
            </w:r>
            <w:r w:rsidRPr="000E01C8">
              <w:rPr>
                <w:b/>
                <w:sz w:val="20"/>
                <w:szCs w:val="20"/>
                <w:lang w:eastAsia="hr-HR"/>
              </w:rPr>
              <w:t>U susret glazbi</w:t>
            </w:r>
            <w:r w:rsidRPr="000E01C8">
              <w:rPr>
                <w:sz w:val="20"/>
                <w:szCs w:val="20"/>
                <w:lang w:eastAsia="hr-HR"/>
              </w:rPr>
              <w:t>, ŠK Zagreb,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Rojko, P. (2004), </w:t>
            </w:r>
            <w:r w:rsidRPr="000E01C8">
              <w:rPr>
                <w:b/>
                <w:sz w:val="20"/>
                <w:szCs w:val="20"/>
                <w:lang w:eastAsia="hr-HR"/>
              </w:rPr>
              <w:t>Metodika glazbene nastave,</w:t>
            </w:r>
            <w:r w:rsidRPr="000E01C8">
              <w:rPr>
                <w:sz w:val="20"/>
                <w:szCs w:val="20"/>
                <w:lang w:eastAsia="hr-HR"/>
              </w:rPr>
              <w:t xml:space="preserve"> praksa I dio, ITG Zg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Rojko, P. (2005), </w:t>
            </w:r>
            <w:r w:rsidRPr="000E01C8">
              <w:rPr>
                <w:b/>
                <w:sz w:val="20"/>
                <w:szCs w:val="20"/>
                <w:lang w:eastAsia="hr-HR"/>
              </w:rPr>
              <w:t>Metodika glazbene nastave</w:t>
            </w:r>
            <w:r w:rsidRPr="000E01C8">
              <w:rPr>
                <w:sz w:val="20"/>
                <w:szCs w:val="20"/>
                <w:lang w:eastAsia="hr-HR"/>
              </w:rPr>
              <w:t>, praksa II dio slušanje, ITG Zg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lastRenderedPageBreak/>
              <w:t xml:space="preserve">Šmit, M.B.,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Glazbom do govora</w:t>
            </w:r>
            <w:r w:rsidRPr="000E01C8">
              <w:rPr>
                <w:sz w:val="20"/>
                <w:szCs w:val="20"/>
                <w:lang w:eastAsia="hr-HR"/>
              </w:rPr>
              <w:t>, Naklada Haid,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Peteh, M., (1998), </w:t>
            </w:r>
            <w:r w:rsidRPr="000E01C8">
              <w:rPr>
                <w:b/>
                <w:sz w:val="20"/>
                <w:szCs w:val="20"/>
                <w:lang w:eastAsia="hr-HR"/>
              </w:rPr>
              <w:t>Zlatno doba brojalice</w:t>
            </w:r>
            <w:r w:rsidRPr="000E01C8">
              <w:rPr>
                <w:sz w:val="20"/>
                <w:szCs w:val="20"/>
                <w:lang w:eastAsia="hr-HR"/>
              </w:rPr>
              <w:t>, Alineja,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Petrović, T., (2002), </w:t>
            </w:r>
            <w:r w:rsidRPr="000E01C8">
              <w:rPr>
                <w:b/>
                <w:sz w:val="20"/>
                <w:szCs w:val="20"/>
                <w:lang w:eastAsia="hr-HR"/>
              </w:rPr>
              <w:t>Pričom, crtežom i popijevkom u notno pismo</w:t>
            </w:r>
            <w:r w:rsidRPr="000E01C8">
              <w:rPr>
                <w:sz w:val="20"/>
                <w:szCs w:val="20"/>
                <w:lang w:eastAsia="hr-HR"/>
              </w:rPr>
              <w:t>, HDGP, Teorija 4 -7, ZG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Kiš, S.,(2000), </w:t>
            </w:r>
            <w:r w:rsidRPr="000E01C8">
              <w:rPr>
                <w:b/>
                <w:sz w:val="20"/>
                <w:szCs w:val="20"/>
                <w:lang w:eastAsia="hr-HR"/>
              </w:rPr>
              <w:t>Glazbeni odgoj - estetski odgoj</w:t>
            </w:r>
            <w:r w:rsidRPr="000E01C8">
              <w:rPr>
                <w:sz w:val="20"/>
                <w:szCs w:val="20"/>
                <w:lang w:eastAsia="hr-HR"/>
              </w:rPr>
              <w:t>, Tonovi 15(1),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Županović, L. </w:t>
            </w:r>
            <w:r w:rsidRPr="000E01C8">
              <w:rPr>
                <w:b/>
                <w:sz w:val="20"/>
                <w:szCs w:val="20"/>
                <w:lang w:eastAsia="hr-HR"/>
              </w:rPr>
              <w:t>Tvorba glazbenog djela</w:t>
            </w:r>
            <w:r w:rsidRPr="000E01C8">
              <w:rPr>
                <w:sz w:val="20"/>
                <w:szCs w:val="20"/>
                <w:lang w:eastAsia="hr-HR"/>
              </w:rPr>
              <w:t>, HPKZ; Problemi suvremene nastave, Zagreb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Buble, N. (1997), </w:t>
            </w:r>
            <w:r w:rsidRPr="000E01C8">
              <w:rPr>
                <w:b/>
                <w:sz w:val="20"/>
                <w:szCs w:val="20"/>
                <w:lang w:eastAsia="hr-HR"/>
              </w:rPr>
              <w:t>Glazbe kao dio života</w:t>
            </w:r>
            <w:r w:rsidRPr="000E01C8">
              <w:rPr>
                <w:sz w:val="20"/>
                <w:szCs w:val="20"/>
                <w:lang w:eastAsia="hr-HR"/>
              </w:rPr>
              <w:t>, Umjetnička akademija, matica Hrvatska, Split</w:t>
            </w:r>
          </w:p>
          <w:p w:rsidR="00425120" w:rsidRPr="000E01C8" w:rsidRDefault="00425120" w:rsidP="00425120">
            <w:pPr>
              <w:jc w:val="both"/>
              <w:rPr>
                <w:sz w:val="20"/>
                <w:szCs w:val="20"/>
                <w:lang w:eastAsia="hr-HR"/>
              </w:rPr>
            </w:pPr>
            <w:r w:rsidRPr="000E01C8">
              <w:rPr>
                <w:sz w:val="20"/>
                <w:szCs w:val="20"/>
                <w:lang w:eastAsia="hr-HR"/>
              </w:rPr>
              <w:t xml:space="preserve">Sam, R., (1999), </w:t>
            </w:r>
            <w:r w:rsidRPr="000E01C8">
              <w:rPr>
                <w:b/>
                <w:sz w:val="20"/>
                <w:szCs w:val="20"/>
                <w:lang w:eastAsia="hr-HR"/>
              </w:rPr>
              <w:t>Glazbeno - likovna komunikacija - moguća odgojna stvarnost</w:t>
            </w:r>
            <w:r w:rsidRPr="000E01C8">
              <w:rPr>
                <w:sz w:val="20"/>
                <w:szCs w:val="20"/>
                <w:lang w:eastAsia="hr-HR"/>
              </w:rPr>
              <w:t>, Zbornik radova, Međunarodni stručno-znanstveni skup, str.79-83, Opatija</w:t>
            </w:r>
          </w:p>
          <w:p w:rsidR="00425120" w:rsidRPr="000E01C8" w:rsidRDefault="00425120" w:rsidP="00425120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5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7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6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]Dužnost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7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>
      <w:pPr>
        <w:rPr>
          <w:rFonts w:ascii="Georgia" w:hAnsi="Georgia"/>
          <w:sz w:val="24"/>
        </w:rPr>
      </w:pPr>
    </w:p>
    <w:p w:rsidR="0082165F" w:rsidRDefault="0082165F" w:rsidP="0082165F"/>
    <w:p w:rsidR="00EA0814" w:rsidRDefault="00EA0814" w:rsidP="0082165F"/>
    <w:p w:rsidR="00EA0814" w:rsidRDefault="00EA0814" w:rsidP="0082165F"/>
    <w:p w:rsidR="00EA0814" w:rsidRDefault="00EA0814" w:rsidP="0082165F"/>
    <w:p w:rsidR="0082165F" w:rsidRDefault="0082165F" w:rsidP="0082165F"/>
    <w:p w:rsidR="0082165F" w:rsidRDefault="0082165F" w:rsidP="0082165F"/>
    <w:p w:rsidR="0082165F" w:rsidRDefault="0082165F" w:rsidP="0082165F"/>
    <w:p w:rsidR="0082165F" w:rsidRDefault="0082165F" w:rsidP="0082165F"/>
    <w:p w:rsidR="0082165F" w:rsidRDefault="0082165F" w:rsidP="0082165F"/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425120" w:rsidRPr="00AA1A5A" w:rsidRDefault="00425120" w:rsidP="00425120">
      <w:pPr>
        <w:rPr>
          <w:rFonts w:ascii="Times New Roman" w:hAnsi="Times New Roman"/>
          <w:b/>
          <w:sz w:val="24"/>
        </w:rPr>
      </w:pPr>
      <w:r w:rsidRPr="00AA1A5A">
        <w:rPr>
          <w:rFonts w:ascii="Times New Roman" w:hAnsi="Times New Roman"/>
          <w:b/>
          <w:sz w:val="24"/>
        </w:rPr>
        <w:t>Obrazac</w:t>
      </w:r>
      <w:r>
        <w:rPr>
          <w:rFonts w:ascii="Times New Roman" w:hAnsi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5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Jezično-komunikacijski integrirani  kurikul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 xml:space="preserve">akad. </w:t>
            </w:r>
            <w:r w:rsidRPr="004923F4">
              <w:rPr>
                <w:rFonts w:ascii="Times New Roman" w:hAnsi="Times New Roman" w:cs="Times New Roman"/>
                <w:b/>
                <w:sz w:val="20"/>
              </w:rPr>
              <w:lastRenderedPageBreak/>
              <w:t>god.</w:t>
            </w:r>
          </w:p>
        </w:tc>
        <w:tc>
          <w:tcPr>
            <w:tcW w:w="1533" w:type="dxa"/>
            <w:gridSpan w:val="4"/>
            <w:vAlign w:val="center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lastRenderedPageBreak/>
              <w:t>2019./2020.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lastRenderedPageBreak/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Rani i predškolski odgoj i obrazovanje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5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7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7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245808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89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1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3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5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6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7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8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099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0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1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2"/>
              </w:sdtPr>
              <w:sdtContent>
                <w:r w:rsidR="00425120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3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104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425120" w:rsidRPr="004923F4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4923F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425120" w:rsidRPr="004923F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/>
                  <w:sz w:val="18"/>
                </w:rPr>
                <w:id w:val="2458106"/>
              </w:sdtPr>
              <w:sdtContent>
                <w:r w:rsidR="00425120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25120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10:00-12:30 h</w:t>
            </w:r>
          </w:p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105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Pr="009A284F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25120" w:rsidRPr="009947BA" w:rsidTr="0042512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425120" w:rsidRDefault="00425120" w:rsidP="004251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21.01.2020.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Diana Nenadić-Bilan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bnenandic@unizd.hr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9:00-10:30 h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Diana Nenadić-Bilan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bnenandic@unizd.hr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7361E7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8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0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0"/>
              </w:sdtPr>
              <w:sdtContent>
                <w:r w:rsidR="00425120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1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3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4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5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6"/>
              </w:sdtPr>
              <w:sdtContent>
                <w:r w:rsidR="00425120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425120" w:rsidRPr="00E31842" w:rsidRDefault="00425120" w:rsidP="00425120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Nakon položenog ispita iz ovoga kolegija studenti će biti sposobni: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Razviti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 instrumentalne opće kompetencije  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analizeisinteze te planiranja i organiziranja.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Razviti interpersonalne opće kometencije timskog rada i interpersonalnih vještina.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Razviti neke sistemske opće komeptencije-sposobnost stvaranja novih ideja, sposobnost prilagodbe novim situacijama i sposobnost vođenja.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Objasniti temeljne pojmove jezi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no- komunikacijskog integriranog kurikulum. 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Prepoznatiianaliziratiosnovne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 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imbenike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uvjeteirazli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itemetodi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kepostupkeprioblikovanjujezi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komunikacijskogintegriranogkurikuluma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5120" w:rsidRPr="00E31842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Analiziratiisintetiziratisadržajespsihofizičkimkarakteristikamarazvojapredškolskedjece.</w:t>
            </w:r>
          </w:p>
          <w:p w:rsidR="00425120" w:rsidRDefault="00425120" w:rsidP="00423E5C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Aktivnoprimjenjivatiste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enespoznajeojezi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komunikacijskimprocesimauodgojno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3184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obrazovnimsituacijama</w:t>
            </w:r>
            <w:r w:rsidRPr="00E318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25120" w:rsidRPr="009947BA" w:rsidTr="00425120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 xml:space="preserve">Razviti sposobnost organiziranja i planiranja samostalnog učenja i napredovanja kroz studij na način kritičkog i samokritičnog propitivanja znanstvenih istina; 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Razviti sposobnosti refleksivnog praktičara koji kontinuirano vrednuje učinke svojih postignuća;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Demonstrirati sposobnost prilagođavanja novim i neočekivanim situacijama na način aktivne primjene stečenih znanja, vještina i sposobnosti;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Cijeniti, poštivati i pokazati predanost za misiju profesionalca u ranom i predškolskom odgoju i obrazovanju;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Biti osposobljen za preuzimanje odgovornosti u procesima daljnje osobne i profesionalne afirmacije svojeg stručnog profila, uz istovremeno promicanje značaja stručnog područja rada;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Demonstrirati znanje učinkovitih strategija u poticanju ukupnih razvojnih dosega djeteta u ranom djetinjstvu;</w:t>
            </w:r>
          </w:p>
          <w:p w:rsidR="00425120" w:rsidRPr="00120B1D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Izgrađivati podržavajuće odnose s djecom socijalizirajući ih uz istovremenu individualizaciju njihove društvenosti;</w:t>
            </w:r>
          </w:p>
          <w:p w:rsidR="00425120" w:rsidRPr="00B4202A" w:rsidRDefault="00425120" w:rsidP="00423E5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120B1D">
              <w:rPr>
                <w:rFonts w:ascii="Times New Roman" w:hAnsi="Times New Roman" w:cs="Times New Roman"/>
                <w:sz w:val="18"/>
                <w:szCs w:val="18"/>
              </w:rPr>
              <w:t>Učinkovito i djelotvorno konstruirati odgojno-obrazovni kontekst kao poticajno - razvojni, po mjeri djece i svakog djeteta posebno, u odnosu na njihove sposobnosti, mogućnosti, potrebe i interese te na tim osnovama ostvarivati integriranu odgojno-obrazovnu praksu.</w:t>
            </w:r>
          </w:p>
        </w:tc>
      </w:tr>
      <w:tr w:rsidR="00425120" w:rsidRPr="009947BA" w:rsidTr="00425120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1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6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5120" w:rsidRPr="009947BA" w:rsidTr="00425120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29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5120" w:rsidRPr="00C02454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Položeni kolokviji, položen pismeni ispit, položen praktični ispit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1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2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3"/>
              </w:sdtPr>
              <w:sdtContent>
                <w:r w:rsidR="00425120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25120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28.01.2020.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10.02.2020.</w:t>
            </w:r>
          </w:p>
        </w:tc>
        <w:tc>
          <w:tcPr>
            <w:tcW w:w="2471" w:type="dxa"/>
            <w:gridSpan w:val="10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02.09.2020.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16.09.2020.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5120" w:rsidRPr="004E2B4E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E2B4E">
              <w:rPr>
                <w:rFonts w:ascii="Times New Roman" w:hAnsi="Times New Roman" w:cs="Times New Roman"/>
                <w:sz w:val="18"/>
                <w:szCs w:val="18"/>
              </w:rPr>
              <w:t>Kolegijimazaciljupoznatijezično-komunikacijskesadržajeutvorbiranogipredškolskogintegriranogkurikul, kaoistručnoimetodičkopromišljanjeiizvođenjejezično-komunikacijskihsadržajaintegriranogkurikula.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Značaj metodičkog oblikovanja interakcije u institucionalnom kontekstu (interakcija i komunikacija s odraslima i djecom).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Struktura odgojno-obrazovnog procesa u dječjim jaslicama i vrtićima u oblikovanju i razvoju jezično-komunikacijske kompetencije djeteta.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Temeljne zadaće, metode i djelatnosti rada u području razvoja govora djece rane i predškolske dobi.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Odgojno-obrazovna komunikacija 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Poticanje razvoja artikulacije glasova.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razvoja rječnika.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razvoja rečenice.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Poticanje govornog stvaralaštva djece predškolske dobi.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Govorne igre.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Vježbe i igre za poticanje komunikacijskih umijeća djeteta.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Predčitačke vještine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Igre za razvoj glasovne raščlambe.  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Aktivnosti predpisanja.</w:t>
            </w:r>
          </w:p>
          <w:p w:rsidR="00425120" w:rsidRPr="009C16AF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Okru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ž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enjeujezi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no</w:t>
            </w:r>
            <w:r w:rsidRPr="009C1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16AF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komunikacijskomkurikulu.</w:t>
            </w:r>
          </w:p>
          <w:p w:rsidR="00425120" w:rsidRPr="00557871" w:rsidRDefault="00425120" w:rsidP="00423E5C">
            <w:pPr>
              <w:pStyle w:val="ListParagraph"/>
              <w:numPr>
                <w:ilvl w:val="0"/>
                <w:numId w:val="15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557871">
              <w:rPr>
                <w:rFonts w:ascii="Times New Roman" w:hAnsi="Times New Roman" w:cs="Times New Roman"/>
                <w:sz w:val="18"/>
                <w:szCs w:val="18"/>
              </w:rPr>
              <w:t>Uloga odgojitelja u jezično-komunikacijskom kurikulumu  te metodički postupci u razvoju jezično-komunikacijske kompetencije u djece.</w:t>
            </w:r>
          </w:p>
          <w:p w:rsidR="00425120" w:rsidRPr="00DE6D53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Bašić, J. i sur. (1994). Integralna metoda za odgajatelje i stručne suradnike predškolske ustanove,  Zagreb: Alinea (odabrana poglavlja ).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Čudina-Obradović, M. (2002 ).Čitanje prije škole. Zagreb: Školska knjiga.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Slunjski,E. (2006). Stvaranje predškolskog kurikuluma u vrtiću-organizaciji koja uči, Zagreb: Mali profesor. (odabrana poglavlja)</w:t>
            </w:r>
          </w:p>
          <w:p w:rsidR="00425120" w:rsidRPr="00A61007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Pavli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č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evi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ć –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Frani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ć,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. (2005).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Komunikacijomdogramatike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Zagreb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Alfa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Pr="00A610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str</w:t>
            </w:r>
            <w:r w:rsidRPr="00A61007">
              <w:rPr>
                <w:rFonts w:ascii="Times New Roman" w:hAnsi="Times New Roman" w:cs="Times New Roman"/>
                <w:sz w:val="18"/>
                <w:szCs w:val="18"/>
              </w:rPr>
              <w:t>. 18-30).</w:t>
            </w:r>
          </w:p>
          <w:p w:rsidR="00425120" w:rsidRPr="009947BA" w:rsidRDefault="00425120" w:rsidP="00423E5C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18"/>
              </w:rPr>
            </w:pPr>
            <w:r w:rsidRPr="00A61007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Robotić, M. (2000). Predvježbe pisanja. Zagreb: Alfej.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Veronek-Germadnik,V.( 2002).Upoznajmo se -komunikacijske igre djece,roditelja i učitelj, Zagreb.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Čudina-Obradović, M. (1995 ). Igrom do čitanja.Zagreb: Školska knjiga.  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Silberg, J. (2002). Igremozgalicezadojencad, jednogodišnjakeidvogodišnjudjecu. Zagreb: Profil.</w:t>
            </w:r>
          </w:p>
          <w:p w:rsidR="00425120" w:rsidRPr="0024530C" w:rsidRDefault="00425120" w:rsidP="00423E5C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30C">
              <w:rPr>
                <w:rFonts w:ascii="Times New Roman" w:hAnsi="Times New Roman" w:cs="Times New Roman"/>
                <w:sz w:val="18"/>
                <w:szCs w:val="18"/>
              </w:rPr>
              <w:t>Pease, A. (2008). Velika školagovoratijela. Zagreb: Mozaikknjiga.</w:t>
            </w: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5120" w:rsidRPr="00C02454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4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5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7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Pr="00C02454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8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39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0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5120" w:rsidRPr="00C02454" w:rsidRDefault="005912DD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1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5120" w:rsidRPr="00C02454" w:rsidRDefault="00425120" w:rsidP="0042512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2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5120" w:rsidRPr="00C02454" w:rsidRDefault="005912DD" w:rsidP="00425120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3"/>
              </w:sdtPr>
              <w:sdtContent>
                <w:r w:rsidR="00425120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50% kolokvij, 50%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425120" w:rsidRPr="009947BA" w:rsidTr="00425120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5120" w:rsidRPr="00B4202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˂60% nedovoljan (1)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60-69% dovoljan (2)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70-79% dobar (3)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80-89% vrlo dobar (4)</w:t>
            </w:r>
          </w:p>
        </w:tc>
      </w:tr>
      <w:tr w:rsidR="00425120" w:rsidRPr="009947BA" w:rsidTr="00425120">
        <w:tc>
          <w:tcPr>
            <w:tcW w:w="1801" w:type="dxa"/>
            <w:vMerge/>
            <w:shd w:val="clear" w:color="auto" w:fill="F2F2F2" w:themeFill="background1" w:themeFillShade="F2"/>
          </w:tcPr>
          <w:p w:rsidR="00425120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5120" w:rsidRPr="00B7307A" w:rsidRDefault="00425120" w:rsidP="004251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˃90% izvrstan (5)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4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5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6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5120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7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5120" w:rsidRPr="009947BA" w:rsidRDefault="005912DD" w:rsidP="004251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/>
                  <w:sz w:val="18"/>
                </w:rPr>
                <w:id w:val="2458148"/>
              </w:sdtPr>
              <w:sdtContent>
                <w:r w:rsidR="004251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5120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5120" w:rsidRPr="009947BA" w:rsidTr="00425120">
        <w:tc>
          <w:tcPr>
            <w:tcW w:w="1801" w:type="dxa"/>
            <w:shd w:val="clear" w:color="auto" w:fill="F2F2F2" w:themeFill="background1" w:themeFillShade="F2"/>
          </w:tcPr>
          <w:p w:rsidR="00425120" w:rsidRPr="009947BA" w:rsidRDefault="00425120" w:rsidP="004251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5120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1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elektronskoj komunikaciji bit će odgovarano samo na poruke koje dolaze spoznatih adresa s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imenom i prezimenom, te koje su napisane hrvatskimstandardom i primjerenim akademskim stilom.</w:t>
            </w:r>
          </w:p>
          <w:p w:rsidR="00425120" w:rsidRPr="00684BBC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5120" w:rsidRPr="009947BA" w:rsidRDefault="00425120" w:rsidP="0042512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425120" w:rsidRPr="00386E9C" w:rsidRDefault="00425120">
      <w:pPr>
        <w:rPr>
          <w:rFonts w:ascii="Georgia" w:hAnsi="Georgia"/>
          <w:sz w:val="24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  <w:r>
        <w:rPr>
          <w:rFonts w:ascii="Arial" w:eastAsia="Tw Cen MT" w:hAnsi="Arial" w:cs="Arial"/>
          <w:sz w:val="22"/>
          <w:szCs w:val="22"/>
        </w:rPr>
        <w:tab/>
      </w: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rPr>
          <w:rFonts w:ascii="Arial" w:eastAsia="Tw Cen MT" w:hAnsi="Arial" w:cs="Arial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  <w:r>
        <w:rPr>
          <w:rFonts w:ascii="Tw Cen MT" w:eastAsia="Tw Cen MT" w:hAnsi="Tw Cen MT"/>
          <w:sz w:val="22"/>
          <w:szCs w:val="22"/>
        </w:rPr>
        <w:t xml:space="preserve"> </w:t>
      </w: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Pr="0072393D" w:rsidRDefault="00425120" w:rsidP="00425120">
      <w:pPr>
        <w:rPr>
          <w:rFonts w:ascii="Tw Cen MT" w:eastAsia="Tw Cen MT" w:hAnsi="Tw Cen MT"/>
          <w:sz w:val="22"/>
          <w:szCs w:val="22"/>
        </w:rPr>
      </w:pPr>
    </w:p>
    <w:p w:rsidR="00425120" w:rsidRPr="008E0855" w:rsidRDefault="00425120" w:rsidP="00425120">
      <w:pPr>
        <w:pStyle w:val="Razina2poglavlje"/>
        <w:tabs>
          <w:tab w:val="clear" w:pos="360"/>
        </w:tabs>
        <w:ind w:left="0" w:firstLine="0"/>
        <w:rPr>
          <w:color w:val="auto"/>
          <w:sz w:val="22"/>
          <w:szCs w:val="22"/>
        </w:rPr>
      </w:pPr>
    </w:p>
    <w:p w:rsidR="00425120" w:rsidRDefault="00425120">
      <w:pPr>
        <w:rPr>
          <w:rFonts w:ascii="Tw Cen MT" w:eastAsia="Tw Cen MT" w:hAnsi="Tw Cen MT"/>
        </w:rPr>
      </w:pPr>
    </w:p>
    <w:tbl>
      <w:tblPr>
        <w:tblW w:w="9566" w:type="dxa"/>
        <w:tblInd w:w="108" w:type="dxa"/>
        <w:tblLayout w:type="fixed"/>
        <w:tblLook w:val="0000"/>
      </w:tblPr>
      <w:tblGrid>
        <w:gridCol w:w="1985"/>
        <w:gridCol w:w="7581"/>
      </w:tblGrid>
      <w:tr w:rsidR="00106B22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1F2FA2">
            <w:pPr>
              <w:tabs>
                <w:tab w:val="left" w:pos="2820"/>
              </w:tabs>
              <w:rPr>
                <w:rFonts w:ascii="Tw Cen MT" w:eastAsia="Tw Cen MT" w:hAnsi="Tw Cen MT"/>
                <w:b/>
                <w:sz w:val="22"/>
                <w:szCs w:val="22"/>
                <w:lang w:eastAsia="en-US"/>
              </w:rPr>
            </w:pPr>
            <w:r w:rsidRPr="001F2FA2">
              <w:rPr>
                <w:rFonts w:ascii="Tw Cen MT" w:eastAsia="Tw Cen MT" w:hAnsi="Tw Cen MT"/>
                <w:b/>
              </w:rPr>
              <w:t>Partnerstvo obitelji i predškolske ustanove</w:t>
            </w:r>
          </w:p>
          <w:p w:rsidR="00106B22" w:rsidRDefault="00106B22" w:rsidP="00C80184">
            <w:pPr>
              <w:snapToGrid w:val="0"/>
              <w:rPr>
                <w:rFonts w:ascii="Tw Cen MT" w:eastAsia="Tw Cen MT" w:hAnsi="Tw Cen MT"/>
                <w:b/>
                <w:bCs/>
              </w:rPr>
            </w:pP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lastRenderedPageBreak/>
              <w:t>ECTS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>3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>Doc.dr.sc. Diana Nenadić-Bilan</w:t>
            </w:r>
          </w:p>
        </w:tc>
      </w:tr>
      <w:tr w:rsidR="00106B22">
        <w:trPr>
          <w:trHeight w:val="490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  <w:b/>
                <w:bCs/>
              </w:rPr>
            </w:pPr>
            <w:r w:rsidRPr="008579F9">
              <w:rPr>
                <w:rFonts w:ascii="Tw Cen MT" w:eastAsia="Tw Cen MT" w:hAnsi="Tw Cen MT"/>
                <w:b/>
                <w:bCs/>
              </w:rPr>
              <w:t>Nakon položenog ispita iz ovoga kolegija studenti će biti sposobni: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Razvijati kapacitet za učenje kao pretpostavku za generiranje novih ideja i za prilagodljivost na nove situacije.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Pokazati sposobnost za kontinuirano vrednovanje i samovrednovanje vlastitog rada.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Pokazivati, razumjeti i promicati koncepte cjeloživotnog učenja zalaganjem za osobni profesionalni razvoj.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 xml:space="preserve">Razumijevati rizike za sigurnost, zdravlje djeteta i organizirati sigurnu i poticajnu sredinu. </w:t>
            </w:r>
          </w:p>
          <w:p w:rsidR="00106B22" w:rsidRPr="001F2FA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Poznavati i razumjeti najnovije znanstvene spoznaje o potrebi kultiviranja partnerstva s roditeljima.</w:t>
            </w:r>
          </w:p>
          <w:p w:rsidR="00106B22" w:rsidRDefault="00106B22" w:rsidP="00423E5C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  <w:lang w:val="pl-PL"/>
              </w:rPr>
              <w:t>Razviti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sklonost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prema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timskom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radu</w:t>
            </w:r>
            <w:r w:rsidRPr="001F2FA2">
              <w:rPr>
                <w:rFonts w:ascii="Tw Cen MT" w:eastAsia="Tw Cen MT" w:hAnsi="Tw Cen MT"/>
              </w:rPr>
              <w:t xml:space="preserve">, </w:t>
            </w:r>
            <w:r w:rsidRPr="001F2FA2">
              <w:rPr>
                <w:rFonts w:ascii="Tw Cen MT" w:eastAsia="Tw Cen MT" w:hAnsi="Tw Cen MT"/>
                <w:lang w:val="pl-PL"/>
              </w:rPr>
              <w:t>interakcijom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i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suradnjom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utemeljenima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na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partnerskim</w:t>
            </w:r>
            <w:r w:rsidRPr="001F2FA2">
              <w:rPr>
                <w:rFonts w:ascii="Tw Cen MT" w:eastAsia="Tw Cen MT" w:hAnsi="Tw Cen MT"/>
              </w:rPr>
              <w:t xml:space="preserve"> </w:t>
            </w:r>
            <w:r w:rsidRPr="001F2FA2">
              <w:rPr>
                <w:rFonts w:ascii="Tw Cen MT" w:eastAsia="Tw Cen MT" w:hAnsi="Tw Cen MT"/>
                <w:lang w:val="pl-PL"/>
              </w:rPr>
              <w:t>odnosima</w:t>
            </w:r>
          </w:p>
        </w:tc>
      </w:tr>
      <w:tr w:rsidR="00106B22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pStyle w:val="BodyText21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Nema. 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Ispitna</w:t>
            </w:r>
          </w:p>
          <w:p w:rsidR="00106B22" w:rsidRDefault="00106B22" w:rsidP="00C80184">
            <w:pPr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423E5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lang w:val="pt-BR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Milanović, M. ( 2006 ). Pomozimo im rasti.Ministarstvo prosvjete i športa RH, Zagreb (odabrana poglavlja )</w:t>
            </w:r>
          </w:p>
          <w:p w:rsidR="00106B22" w:rsidRPr="00A3185F" w:rsidRDefault="00106B22" w:rsidP="00423E5C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sz w:val="22"/>
                <w:szCs w:val="22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Glascoe, F.P. ( 2002 ). Suradnja s roditeljima. Jastrebarsko: Slap.  (odabrana poglavlja)</w:t>
            </w:r>
          </w:p>
        </w:tc>
      </w:tr>
      <w:tr w:rsidR="00106B22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1F2FA2" w:rsidRDefault="00106B22" w:rsidP="00423E5C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rPr>
                <w:rFonts w:ascii="Tw Cen MT" w:eastAsia="Tw Cen MT" w:hAnsi="Tw Cen MT"/>
                <w:lang w:val="pt-BR"/>
              </w:rPr>
            </w:pPr>
            <w:r w:rsidRPr="001F2FA2">
              <w:rPr>
                <w:rFonts w:ascii="Tw Cen MT" w:eastAsia="Tw Cen MT" w:hAnsi="Tw Cen MT"/>
                <w:lang w:val="pt-BR"/>
              </w:rPr>
              <w:t>Rosić, V., Zloković, J. (2004). Modeli suradnje obitelji i škole. Zagreb: Foma.  (odabrana područja)</w:t>
            </w:r>
          </w:p>
          <w:p w:rsidR="00106B22" w:rsidRDefault="00106B22" w:rsidP="00423E5C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w Cen MT" w:eastAsia="Tw Cen MT" w:hAnsi="Tw Cen MT"/>
              </w:rPr>
            </w:pPr>
            <w:r w:rsidRPr="001F2FA2">
              <w:rPr>
                <w:rFonts w:ascii="Tw Cen MT" w:eastAsia="Tw Cen MT" w:hAnsi="Tw Cen MT"/>
              </w:rPr>
              <w:t>Ljubetić, M. (20017). Biti kompetentan roditelj. Zagreb: Mali profesor</w:t>
            </w:r>
            <w:r>
              <w:rPr>
                <w:rFonts w:ascii="Tw Cen MT" w:eastAsia="Tw Cen MT" w:hAnsi="Tw Cen MT"/>
              </w:rPr>
              <w:t>.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Oblici provođenja nastave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 xml:space="preserve">Predavanja, vježbe </w:t>
            </w:r>
          </w:p>
        </w:tc>
      </w:tr>
      <w:tr w:rsidR="00106B22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Pr="00822C10" w:rsidRDefault="00106B22" w:rsidP="00F36526">
            <w:pPr>
              <w:snapToGrid w:val="0"/>
              <w:rPr>
                <w:rFonts w:ascii="Tw Cen MT" w:eastAsia="Tw Cen MT" w:hAnsi="Tw Cen MT" w:cs="Arial"/>
              </w:rPr>
            </w:pPr>
            <w:r>
              <w:rPr>
                <w:rFonts w:ascii="Tw Cen MT" w:eastAsia="Tw Cen MT" w:hAnsi="Tw Cen MT" w:cs="Arial"/>
              </w:rPr>
              <w:t>Pismeni ispit i istraživački zadatak.</w:t>
            </w:r>
          </w:p>
        </w:tc>
      </w:tr>
      <w:tr w:rsidR="00106B22">
        <w:trPr>
          <w:trHeight w:val="3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106B22" w:rsidRDefault="00106B22" w:rsidP="00C80184">
            <w:pPr>
              <w:snapToGrid w:val="0"/>
              <w:spacing w:before="60" w:after="60"/>
              <w:rPr>
                <w:rFonts w:ascii="Arial" w:eastAsia="Tw Cen MT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w Cen MT" w:hAnsi="Arial" w:cs="Arial"/>
                <w:b/>
                <w:bCs/>
                <w:sz w:val="22"/>
                <w:szCs w:val="22"/>
              </w:rPr>
              <w:lastRenderedPageBreak/>
              <w:t xml:space="preserve">Jezik poduke  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B22" w:rsidRDefault="00106B22" w:rsidP="00C80184">
            <w:pPr>
              <w:snapToGrid w:val="0"/>
              <w:rPr>
                <w:rFonts w:ascii="Tw Cen MT" w:eastAsia="Tw Cen MT" w:hAnsi="Tw Cen MT"/>
              </w:rPr>
            </w:pPr>
            <w:r>
              <w:rPr>
                <w:rFonts w:ascii="Tw Cen MT" w:eastAsia="Tw Cen MT" w:hAnsi="Tw Cen MT"/>
              </w:rPr>
              <w:t xml:space="preserve">Hrvatski </w:t>
            </w:r>
          </w:p>
        </w:tc>
      </w:tr>
    </w:tbl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  <w:r>
        <w:rPr>
          <w:rFonts w:ascii="Arial" w:eastAsia="Tw Cen MT" w:hAnsi="Arial" w:cs="Arial"/>
          <w:sz w:val="22"/>
          <w:szCs w:val="22"/>
        </w:rPr>
        <w:tab/>
      </w: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tabs>
          <w:tab w:val="left" w:pos="2680"/>
        </w:tabs>
        <w:rPr>
          <w:rFonts w:ascii="Arial" w:eastAsia="Tw Cen MT" w:hAnsi="Arial" w:cs="Arial"/>
          <w:sz w:val="22"/>
          <w:szCs w:val="22"/>
        </w:rPr>
      </w:pPr>
    </w:p>
    <w:p w:rsidR="00106B22" w:rsidRDefault="00106B22" w:rsidP="00F36526">
      <w:pPr>
        <w:rPr>
          <w:rFonts w:ascii="Arial" w:eastAsia="Tw Cen MT" w:hAnsi="Arial" w:cs="Arial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/>
      </w:tblPr>
      <w:tblGrid>
        <w:gridCol w:w="1134"/>
        <w:gridCol w:w="709"/>
        <w:gridCol w:w="7887"/>
      </w:tblGrid>
      <w:tr w:rsidR="00106B22">
        <w:trPr>
          <w:trHeight w:val="552"/>
        </w:trPr>
        <w:tc>
          <w:tcPr>
            <w:tcW w:w="9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PREDAVANJA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TERMIN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SATI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C80184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SADRŽAJ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9.10.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DE05EE" w:rsidRDefault="00106B22" w:rsidP="00C80184">
            <w:pPr>
              <w:jc w:val="center"/>
              <w:rPr>
                <w:rFonts w:ascii="Tw Cen MT" w:eastAsia="Tw Cen MT" w:hAnsi="Tw Cen MT" w:cs="Arial"/>
                <w:sz w:val="20"/>
              </w:rPr>
            </w:pPr>
            <w:r w:rsidRPr="00DE05EE">
              <w:rPr>
                <w:rFonts w:ascii="Tw Cen MT" w:eastAsia="Tw Cen MT" w:hAnsi="Tw Cen MT" w:cs="Arial"/>
                <w:sz w:val="20"/>
              </w:rPr>
              <w:t>13-14,30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Temeljna polazišta  i značajke partnerstva obitelji i dječjeg vrtića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16.10.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Različito shvaćanje partnerstva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23.10.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Senzibilizacija i priprema odgojitelja predškolske djece i roditelja za partnerske odnose.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30.10.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Stavovi odgojitelja i roditelja koji obeshrabruju suradnju i potporu.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6.11.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Roditelji kao aktivni čimbenici u procesu uspostave partnerstva.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13.11.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Pretpostavke partnerstva između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20.11.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Razine kompetentnosti roditelja i odgojitelja.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6B67D5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27.11.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4.12.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Stručno-pedagoška služba i ravnatelji u procesu uspostave partnerskih odnosa s roditeljima.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lastRenderedPageBreak/>
              <w:t>11.12.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Poželjni modeli i oblici partnerskih odnosa između obitelji i dječjeg vrtića. Individualni razgovori, roditeljski sastanci, škole za roditelje, tribine, posjet obitelji, igraonice, radionice te pisani oblici – kutić za roditelje, pisane obavijesti, list za roditelje.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18.12.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Roditeljski sastanci - predavačkog tipa, oglednog tipa, roditeljski sastanci radi druženja djece i odraslih, roditeljski sastanci komunikacijskog tipa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8.1.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Nazočnost obitelji u skupini (prihvaćanje obitelji u skupini, očekivanja i pravila ponašanja u skupini).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DE05EE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15.1.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Partnerstvo odgojitelja s roditeljima djece s posebnim potrebama.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22.1.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</w:rPr>
              <w:t>Planiranje, praćenje i vrednovanje   partnerskih procesa.</w:t>
            </w:r>
          </w:p>
        </w:tc>
      </w:tr>
      <w:tr w:rsidR="00106B2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C80184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29.1.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C80184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C80184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II</w:t>
            </w:r>
          </w:p>
        </w:tc>
      </w:tr>
    </w:tbl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  <w:r>
        <w:rPr>
          <w:rFonts w:ascii="Tw Cen MT" w:eastAsia="Tw Cen MT" w:hAnsi="Tw Cen MT"/>
          <w:sz w:val="22"/>
          <w:szCs w:val="22"/>
        </w:rPr>
        <w:t xml:space="preserve"> </w:t>
      </w:r>
    </w:p>
    <w:tbl>
      <w:tblPr>
        <w:tblW w:w="9730" w:type="dxa"/>
        <w:tblInd w:w="108" w:type="dxa"/>
        <w:tblLayout w:type="fixed"/>
        <w:tblLook w:val="0000"/>
      </w:tblPr>
      <w:tblGrid>
        <w:gridCol w:w="1134"/>
        <w:gridCol w:w="709"/>
        <w:gridCol w:w="7887"/>
      </w:tblGrid>
      <w:tr w:rsidR="00106B22" w:rsidTr="00A02342">
        <w:trPr>
          <w:trHeight w:val="552"/>
        </w:trPr>
        <w:tc>
          <w:tcPr>
            <w:tcW w:w="97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10381C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VJEŽBE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TERMIN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SATI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Default="00106B22" w:rsidP="00A02342">
            <w:pPr>
              <w:snapToGrid w:val="0"/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SADRŽAJ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9.10.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DE05EE" w:rsidRDefault="00106B22" w:rsidP="00A02342">
            <w:pPr>
              <w:jc w:val="center"/>
              <w:rPr>
                <w:rFonts w:ascii="Tw Cen MT" w:eastAsia="Tw Cen MT" w:hAnsi="Tw Cen MT" w:cs="Arial"/>
                <w:sz w:val="20"/>
              </w:rPr>
            </w:pPr>
            <w:r w:rsidRPr="00DE05EE">
              <w:rPr>
                <w:rFonts w:ascii="Tw Cen MT" w:eastAsia="Tw Cen MT" w:hAnsi="Tw Cen MT" w:cs="Arial"/>
                <w:sz w:val="20"/>
              </w:rPr>
              <w:t>13-14,30</w:t>
            </w: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725775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Razgovor s odgojiteljima o provedbi partnerstva s roditeljima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16.10.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 xml:space="preserve"> Identifikacija prepreka u uspostavi partnerskih odnosa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23.10.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Negativni stavovi odgojitelja koji ometaju partnerstvo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30.10.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Negativni stavovi roditelja koji ometaju partnerstvo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6.11.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 w:cs="Arial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Razina uključenosti roditelja u partnerske odnose s odgojiteljima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13.11.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Najčešći oblici suradnje roditelja i odgojitelja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20.11.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Kutić za roditelje – izgled, smještaj, svrha</w:t>
            </w:r>
            <w:r w:rsidRPr="0010381C">
              <w:rPr>
                <w:rFonts w:ascii="Tw Cen MT" w:eastAsia="Tw Cen MT" w:hAnsi="Tw Cen MT"/>
              </w:rPr>
              <w:t>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lastRenderedPageBreak/>
              <w:t>27.11.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4.12.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Pomoć pedagoga i psihologa u uspostavi partnerskih odnosa.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11.12.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Pomoć ravnatelja u uspostavi partnerskih odnosa.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18.12.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Najučestaliji oblici roditeljskih sastanaka.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8.1.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Tehnike rada s roditeljima u komunikacijksim roditeljskim sastancima.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 xml:space="preserve">15.1.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Sudjelovanje na komunikacijskim roditeljskim sastancima</w:t>
            </w:r>
          </w:p>
        </w:tc>
      </w:tr>
      <w:tr w:rsidR="00106B22" w:rsidTr="00A02342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22.1.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Refleksija provedbe partnerstva roditelja i odgojitelja.</w:t>
            </w:r>
          </w:p>
        </w:tc>
      </w:tr>
      <w:tr w:rsidR="00106B22" w:rsidTr="00A02342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B22" w:rsidRPr="003B64E2" w:rsidRDefault="00106B22" w:rsidP="00A02342">
            <w:pPr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  <w:sz w:val="22"/>
                <w:szCs w:val="22"/>
              </w:rPr>
              <w:t>29.1.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B22" w:rsidRPr="003B64E2" w:rsidRDefault="00106B22" w:rsidP="00A0234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</w:p>
        </w:tc>
        <w:tc>
          <w:tcPr>
            <w:tcW w:w="7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B22" w:rsidRPr="0010381C" w:rsidRDefault="00106B22" w:rsidP="00A02342">
            <w:pPr>
              <w:snapToGrid w:val="0"/>
              <w:ind w:left="-108" w:right="-468" w:firstLine="108"/>
              <w:rPr>
                <w:rFonts w:ascii="Tw Cen MT" w:eastAsia="Tw Cen MT" w:hAnsi="Tw Cen MT"/>
                <w:sz w:val="22"/>
                <w:szCs w:val="22"/>
              </w:rPr>
            </w:pPr>
            <w:r w:rsidRPr="0010381C">
              <w:rPr>
                <w:rFonts w:ascii="Tw Cen MT" w:eastAsia="Tw Cen MT" w:hAnsi="Tw Cen MT"/>
                <w:sz w:val="22"/>
                <w:szCs w:val="22"/>
              </w:rPr>
              <w:t>Kolokvij II</w:t>
            </w:r>
          </w:p>
        </w:tc>
      </w:tr>
    </w:tbl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Default="00106B22" w:rsidP="00F36526">
      <w:pPr>
        <w:rPr>
          <w:rFonts w:ascii="Tw Cen MT" w:eastAsia="Tw Cen MT" w:hAnsi="Tw Cen MT"/>
          <w:sz w:val="22"/>
          <w:szCs w:val="22"/>
        </w:rPr>
      </w:pPr>
    </w:p>
    <w:p w:rsidR="00106B22" w:rsidRPr="0072393D" w:rsidRDefault="00106B22" w:rsidP="00F36526">
      <w:pPr>
        <w:rPr>
          <w:rFonts w:ascii="Tw Cen MT" w:eastAsia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106B22" w:rsidRPr="00CF2782" w:rsidTr="00CF2782">
        <w:tc>
          <w:tcPr>
            <w:tcW w:w="9287" w:type="dxa"/>
          </w:tcPr>
          <w:p w:rsidR="00106B22" w:rsidRPr="00CF2782" w:rsidRDefault="00106B22" w:rsidP="00CF2782">
            <w:pPr>
              <w:jc w:val="center"/>
              <w:rPr>
                <w:rFonts w:ascii="Tw Cen MT" w:eastAsia="Tw Cen MT" w:hAnsi="Tw Cen MT"/>
                <w:sz w:val="22"/>
                <w:szCs w:val="22"/>
              </w:rPr>
            </w:pPr>
            <w:r>
              <w:rPr>
                <w:rFonts w:ascii="Tw Cen MT" w:eastAsia="Tw Cen MT" w:hAnsi="Tw Cen MT"/>
              </w:rPr>
              <w:t>UVJETI POHAĐANJA NASTAVE, POLAGANJA ISPITA I TERMINI ISPITA</w:t>
            </w:r>
          </w:p>
        </w:tc>
      </w:tr>
      <w:tr w:rsidR="00106B22" w:rsidRPr="00CF2782" w:rsidTr="00CF2782">
        <w:tc>
          <w:tcPr>
            <w:tcW w:w="9287" w:type="dxa"/>
          </w:tcPr>
          <w:p w:rsidR="00106B22" w:rsidRDefault="00106B22" w:rsidP="0010381C">
            <w:pPr>
              <w:pStyle w:val="Razina2poglavlje"/>
              <w:shd w:val="clear" w:color="auto" w:fill="auto"/>
              <w:tabs>
                <w:tab w:val="clear" w:pos="360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Redovita n</w:t>
            </w:r>
            <w:r w:rsidRPr="007A094A">
              <w:rPr>
                <w:b w:val="0"/>
                <w:sz w:val="24"/>
                <w:szCs w:val="24"/>
              </w:rPr>
              <w:t>azočnost predav</w:t>
            </w:r>
            <w:r>
              <w:rPr>
                <w:b w:val="0"/>
                <w:sz w:val="24"/>
                <w:szCs w:val="24"/>
              </w:rPr>
              <w:t>anjima, aktivno sudjelovanje na vježbama</w:t>
            </w:r>
            <w:r w:rsidRPr="007A094A">
              <w:rPr>
                <w:b w:val="0"/>
                <w:sz w:val="24"/>
                <w:szCs w:val="24"/>
              </w:rPr>
              <w:t>, provedba istraživačkog zadatka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106B22" w:rsidRPr="00CF2782" w:rsidRDefault="00106B22" w:rsidP="00E0547A">
            <w:pPr>
              <w:pStyle w:val="Razina2poglavlje"/>
              <w:shd w:val="clear" w:color="auto" w:fill="auto"/>
              <w:tabs>
                <w:tab w:val="clear" w:pos="360"/>
              </w:tabs>
              <w:ind w:left="0" w:firstLine="0"/>
              <w:rPr>
                <w:color w:val="auto"/>
                <w:sz w:val="22"/>
                <w:szCs w:val="22"/>
              </w:rPr>
            </w:pPr>
            <w:r w:rsidRPr="00A64E49">
              <w:rPr>
                <w:b w:val="0"/>
                <w:sz w:val="24"/>
                <w:szCs w:val="24"/>
              </w:rPr>
              <w:t>Termini ispita: 1. veljače 201</w:t>
            </w:r>
            <w:r>
              <w:rPr>
                <w:b w:val="0"/>
                <w:sz w:val="24"/>
                <w:szCs w:val="24"/>
              </w:rPr>
              <w:t>9</w:t>
            </w:r>
            <w:r w:rsidRPr="00A64E49">
              <w:rPr>
                <w:b w:val="0"/>
                <w:sz w:val="24"/>
                <w:szCs w:val="24"/>
              </w:rPr>
              <w:t>. u 8,30 h i 15. veljače 201</w:t>
            </w:r>
            <w:r>
              <w:rPr>
                <w:b w:val="0"/>
                <w:sz w:val="24"/>
                <w:szCs w:val="24"/>
              </w:rPr>
              <w:t>9</w:t>
            </w:r>
            <w:r w:rsidRPr="00A64E49">
              <w:rPr>
                <w:b w:val="0"/>
                <w:sz w:val="24"/>
                <w:szCs w:val="24"/>
              </w:rPr>
              <w:t>.u 8,30 h</w:t>
            </w:r>
          </w:p>
        </w:tc>
      </w:tr>
    </w:tbl>
    <w:p w:rsidR="00106B22" w:rsidRPr="008E0855" w:rsidRDefault="00106B22" w:rsidP="00F36526">
      <w:pPr>
        <w:pStyle w:val="Razina2poglavlje"/>
        <w:tabs>
          <w:tab w:val="clear" w:pos="360"/>
        </w:tabs>
        <w:ind w:left="0" w:firstLine="0"/>
        <w:rPr>
          <w:color w:val="auto"/>
          <w:sz w:val="22"/>
          <w:szCs w:val="22"/>
        </w:rPr>
      </w:pPr>
    </w:p>
    <w:p w:rsidR="00106B22" w:rsidRDefault="00106B22">
      <w:pPr>
        <w:rPr>
          <w:rFonts w:ascii="Tw Cen MT" w:eastAsia="Tw Cen MT" w:hAnsi="Tw Cen MT"/>
        </w:rPr>
      </w:pPr>
    </w:p>
    <w:p w:rsidR="00425120" w:rsidRDefault="00425120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CF1825" w:rsidRDefault="00CF1825" w:rsidP="00F35F9E">
      <w:pPr>
        <w:overflowPunct w:val="0"/>
        <w:autoSpaceDE w:val="0"/>
        <w:autoSpaceDN w:val="0"/>
        <w:adjustRightInd w:val="0"/>
        <w:rPr>
          <w:b/>
          <w:lang w:val="pl-PL"/>
        </w:rPr>
      </w:pPr>
    </w:p>
    <w:p w:rsidR="00CF1825" w:rsidRDefault="00CF1825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CF1825" w:rsidRDefault="00CF1825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EA0814" w:rsidRDefault="00EA0814" w:rsidP="00CF182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3850B7" w:rsidRPr="00401498" w:rsidRDefault="003850B7" w:rsidP="003850B7">
      <w:pPr>
        <w:rPr>
          <w:vanish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P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sz w:val="22"/>
          <w:szCs w:val="22"/>
        </w:rPr>
      </w:pPr>
    </w:p>
    <w:p w:rsidR="0059478A" w:rsidRDefault="0059478A" w:rsidP="00C04A47"/>
    <w:sectPr w:rsidR="0059478A" w:rsidSect="00250566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4E" w:rsidRDefault="0067184E">
      <w:pPr>
        <w:spacing w:after="0" w:line="240" w:lineRule="auto"/>
      </w:pPr>
      <w:r>
        <w:separator/>
      </w:r>
    </w:p>
  </w:endnote>
  <w:endnote w:type="continuationSeparator" w:id="1">
    <w:p w:rsidR="0067184E" w:rsidRDefault="0067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425120"/>
  <w:p w:rsidR="00425120" w:rsidRDefault="005912DD">
    <w:pPr>
      <w:pStyle w:val="FooterEven"/>
    </w:pPr>
    <w:r w:rsidRPr="005912DD">
      <w:fldChar w:fldCharType="begin"/>
    </w:r>
    <w:r w:rsidR="00425120">
      <w:instrText xml:space="preserve"> PAGE   \* MERGEFORMAT </w:instrText>
    </w:r>
    <w:r w:rsidRPr="005912DD">
      <w:fldChar w:fldCharType="separate"/>
    </w:r>
    <w:r w:rsidR="003C6E77" w:rsidRPr="003C6E77">
      <w:rPr>
        <w:noProof/>
        <w:sz w:val="24"/>
        <w:szCs w:val="24"/>
      </w:rPr>
      <w:t>32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425120"/>
  <w:p w:rsidR="00425120" w:rsidRDefault="005912DD">
    <w:pPr>
      <w:pStyle w:val="FooterOdd"/>
    </w:pPr>
    <w:r w:rsidRPr="005912DD">
      <w:fldChar w:fldCharType="begin"/>
    </w:r>
    <w:r w:rsidR="00425120">
      <w:instrText xml:space="preserve"> PAGE   \* MERGEFORMAT </w:instrText>
    </w:r>
    <w:r w:rsidRPr="005912DD">
      <w:fldChar w:fldCharType="separate"/>
    </w:r>
    <w:r w:rsidR="003C6E77" w:rsidRPr="003C6E77">
      <w:rPr>
        <w:noProof/>
        <w:sz w:val="24"/>
        <w:szCs w:val="24"/>
      </w:rPr>
      <w:t>31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4E" w:rsidRDefault="0067184E">
      <w:pPr>
        <w:spacing w:after="0" w:line="240" w:lineRule="auto"/>
      </w:pPr>
      <w:r>
        <w:separator/>
      </w:r>
    </w:p>
  </w:footnote>
  <w:footnote w:type="continuationSeparator" w:id="1">
    <w:p w:rsidR="0067184E" w:rsidRDefault="0067184E">
      <w:pPr>
        <w:spacing w:after="0" w:line="240" w:lineRule="auto"/>
      </w:pPr>
      <w:r>
        <w:continuationSeparator/>
      </w:r>
    </w:p>
  </w:footnote>
  <w:footnote w:id="2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3">
    <w:p w:rsidR="00183EED" w:rsidRDefault="00183EED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4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  <w:footnote w:id="5">
    <w:p w:rsidR="00425120" w:rsidRDefault="00425120" w:rsidP="00425120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5912DD">
    <w:pPr>
      <w:pStyle w:val="HeaderEven"/>
    </w:pPr>
    <w:sdt>
      <w:sdtPr>
        <w:alias w:val="Title"/>
        <w:id w:val="275823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5120">
          <w:rPr>
            <w:lang w:val="hr-HR"/>
          </w:rPr>
          <w:t>IZVEDBENI PLAN NASTAVE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20" w:rsidRDefault="005912DD">
    <w:pPr>
      <w:pStyle w:val="HeaderOdd"/>
    </w:pPr>
    <w:sdt>
      <w:sdtPr>
        <w:alias w:val="Title"/>
        <w:id w:val="27582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5120"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4421363"/>
    <w:multiLevelType w:val="hybridMultilevel"/>
    <w:tmpl w:val="D2CC5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572C"/>
    <w:multiLevelType w:val="hybridMultilevel"/>
    <w:tmpl w:val="E75C778C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31B"/>
    <w:multiLevelType w:val="hybridMultilevel"/>
    <w:tmpl w:val="6602C210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56371"/>
    <w:multiLevelType w:val="hybridMultilevel"/>
    <w:tmpl w:val="7082CF02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3F98"/>
    <w:multiLevelType w:val="hybridMultilevel"/>
    <w:tmpl w:val="C4987096"/>
    <w:lvl w:ilvl="0" w:tplc="E6E21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24BEA"/>
    <w:multiLevelType w:val="hybridMultilevel"/>
    <w:tmpl w:val="1634174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7725A"/>
    <w:multiLevelType w:val="hybridMultilevel"/>
    <w:tmpl w:val="71AC6F9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C992ACA"/>
    <w:multiLevelType w:val="hybridMultilevel"/>
    <w:tmpl w:val="8A369C86"/>
    <w:lvl w:ilvl="0" w:tplc="1708F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6754E"/>
    <w:multiLevelType w:val="hybridMultilevel"/>
    <w:tmpl w:val="E23CDA64"/>
    <w:lvl w:ilvl="0" w:tplc="041A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AE23AA"/>
    <w:rsid w:val="000321B8"/>
    <w:rsid w:val="000363FC"/>
    <w:rsid w:val="000452A9"/>
    <w:rsid w:val="00083444"/>
    <w:rsid w:val="000903BC"/>
    <w:rsid w:val="000A14DD"/>
    <w:rsid w:val="000A205D"/>
    <w:rsid w:val="000E0B04"/>
    <w:rsid w:val="00106B22"/>
    <w:rsid w:val="0011389A"/>
    <w:rsid w:val="001828A8"/>
    <w:rsid w:val="00183EED"/>
    <w:rsid w:val="00197EA8"/>
    <w:rsid w:val="002200B5"/>
    <w:rsid w:val="00221E42"/>
    <w:rsid w:val="00250566"/>
    <w:rsid w:val="00253BE8"/>
    <w:rsid w:val="0026426D"/>
    <w:rsid w:val="002B0671"/>
    <w:rsid w:val="002D6726"/>
    <w:rsid w:val="0032368F"/>
    <w:rsid w:val="0032695B"/>
    <w:rsid w:val="00335D28"/>
    <w:rsid w:val="003844AE"/>
    <w:rsid w:val="003850B7"/>
    <w:rsid w:val="003B6817"/>
    <w:rsid w:val="003C6E77"/>
    <w:rsid w:val="00403D0F"/>
    <w:rsid w:val="0041098D"/>
    <w:rsid w:val="00417D96"/>
    <w:rsid w:val="00417DA8"/>
    <w:rsid w:val="00423E5C"/>
    <w:rsid w:val="00425120"/>
    <w:rsid w:val="004259D9"/>
    <w:rsid w:val="0043083B"/>
    <w:rsid w:val="00487E21"/>
    <w:rsid w:val="004B457D"/>
    <w:rsid w:val="004C2756"/>
    <w:rsid w:val="004D6663"/>
    <w:rsid w:val="004E1EA4"/>
    <w:rsid w:val="005420EC"/>
    <w:rsid w:val="00552506"/>
    <w:rsid w:val="005623D9"/>
    <w:rsid w:val="005740A6"/>
    <w:rsid w:val="00582D89"/>
    <w:rsid w:val="005912DD"/>
    <w:rsid w:val="00592C9E"/>
    <w:rsid w:val="0059478A"/>
    <w:rsid w:val="005B4B24"/>
    <w:rsid w:val="0067184E"/>
    <w:rsid w:val="006B3559"/>
    <w:rsid w:val="006B7757"/>
    <w:rsid w:val="006D63A7"/>
    <w:rsid w:val="006E6FC0"/>
    <w:rsid w:val="007106F0"/>
    <w:rsid w:val="00744A3E"/>
    <w:rsid w:val="00750D2F"/>
    <w:rsid w:val="00773831"/>
    <w:rsid w:val="0082165F"/>
    <w:rsid w:val="00827660"/>
    <w:rsid w:val="00863E44"/>
    <w:rsid w:val="008A3EE6"/>
    <w:rsid w:val="00906425"/>
    <w:rsid w:val="00921FFD"/>
    <w:rsid w:val="00974162"/>
    <w:rsid w:val="00A3589D"/>
    <w:rsid w:val="00A96008"/>
    <w:rsid w:val="00AA73E5"/>
    <w:rsid w:val="00AE23AA"/>
    <w:rsid w:val="00B058F1"/>
    <w:rsid w:val="00B06A69"/>
    <w:rsid w:val="00BB7EA1"/>
    <w:rsid w:val="00C04A47"/>
    <w:rsid w:val="00C64B86"/>
    <w:rsid w:val="00C820E0"/>
    <w:rsid w:val="00C91197"/>
    <w:rsid w:val="00CF1825"/>
    <w:rsid w:val="00D1605A"/>
    <w:rsid w:val="00D22721"/>
    <w:rsid w:val="00D32112"/>
    <w:rsid w:val="00D84005"/>
    <w:rsid w:val="00D909B4"/>
    <w:rsid w:val="00DB47B0"/>
    <w:rsid w:val="00E00280"/>
    <w:rsid w:val="00E026BC"/>
    <w:rsid w:val="00E20BE3"/>
    <w:rsid w:val="00E34C97"/>
    <w:rsid w:val="00E4791F"/>
    <w:rsid w:val="00EA0814"/>
    <w:rsid w:val="00EF1760"/>
    <w:rsid w:val="00F00CA2"/>
    <w:rsid w:val="00F35F9E"/>
    <w:rsid w:val="00F43C2D"/>
    <w:rsid w:val="00F45757"/>
    <w:rsid w:val="00FB403B"/>
    <w:rsid w:val="00FD2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B6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D2AB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B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AB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AB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AB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AB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AB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AB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AB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AB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D2AB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D2AB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D2A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B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2A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B6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FD2AB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AB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FD2AB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AB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FD2AB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2AB6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B6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FD2AB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FD2AB6"/>
    <w:rPr>
      <w:b/>
      <w:bCs/>
      <w:caps/>
      <w:sz w:val="16"/>
      <w:szCs w:val="18"/>
    </w:rPr>
  </w:style>
  <w:style w:type="character" w:styleId="Emphasis">
    <w:name w:val="Emphasis"/>
    <w:uiPriority w:val="99"/>
    <w:qFormat/>
    <w:rsid w:val="00FD2AB6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AB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AB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AB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AB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AB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AB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D2AB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D2AB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FD2AB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FD2AB6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FD2AB6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FD2AB6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FD2AB6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FD2AB6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FD2AB6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FD2AB6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FD2AB6"/>
    <w:pPr>
      <w:ind w:left="720"/>
      <w:contextualSpacing/>
    </w:pPr>
  </w:style>
  <w:style w:type="numbering" w:customStyle="1" w:styleId="MedianListStyle">
    <w:name w:val="Median List Style"/>
    <w:uiPriority w:val="99"/>
    <w:rsid w:val="00FD2AB6"/>
    <w:pPr>
      <w:numPr>
        <w:numId w:val="1"/>
      </w:numPr>
    </w:pPr>
  </w:style>
  <w:style w:type="paragraph" w:styleId="NoSpacing">
    <w:name w:val="No Spacing"/>
    <w:basedOn w:val="Normal"/>
    <w:qFormat/>
    <w:rsid w:val="00FD2AB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FD2AB6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FD2AB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FD2AB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FD2AB6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FD2AB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FD2AB6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rsid w:val="00FD2AB6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2AB6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FD2AB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D2AB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FD2AB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FD2AB6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FD2AB6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FD2AB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FD2AB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rsid w:val="00FD2AB6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FD2AB6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FD2AB6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LightShading-Accent11">
    <w:name w:val="Light Shading - Accent 1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BodyText21">
    <w:name w:val="Body Text 21"/>
    <w:basedOn w:val="Normal"/>
    <w:qFormat/>
    <w:rsid w:val="00750D2F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</w:rPr>
  </w:style>
  <w:style w:type="paragraph" w:customStyle="1" w:styleId="Razina2poglavlje">
    <w:name w:val="Razina 2: poglavlje"/>
    <w:basedOn w:val="Heading1"/>
    <w:next w:val="Normal"/>
    <w:rsid w:val="00750D2F"/>
    <w:pPr>
      <w:keepNext/>
      <w:shd w:val="clear" w:color="auto" w:fill="F3F3F3"/>
      <w:tabs>
        <w:tab w:val="num" w:pos="360"/>
      </w:tabs>
      <w:suppressAutoHyphens/>
      <w:spacing w:before="360" w:after="240"/>
      <w:ind w:left="360" w:hanging="360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</w:rPr>
  </w:style>
  <w:style w:type="paragraph" w:customStyle="1" w:styleId="Default">
    <w:name w:val="Default"/>
    <w:qFormat/>
    <w:rsid w:val="00CF1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  <w:lang w:val="hr-HR" w:eastAsia="hr-HR"/>
    </w:rPr>
  </w:style>
  <w:style w:type="character" w:customStyle="1" w:styleId="FontStyle11">
    <w:name w:val="Font Style11"/>
    <w:basedOn w:val="DefaultParagraphFont"/>
    <w:qFormat/>
    <w:rsid w:val="00CF182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qFormat/>
    <w:rsid w:val="00CF182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qFormat/>
    <w:rsid w:val="00CF1825"/>
    <w:pPr>
      <w:widowControl w:val="0"/>
      <w:autoSpaceDE w:val="0"/>
      <w:autoSpaceDN w:val="0"/>
      <w:adjustRightInd w:val="0"/>
      <w:spacing w:after="0" w:line="293" w:lineRule="exact"/>
      <w:ind w:hanging="346"/>
    </w:pPr>
    <w:rPr>
      <w:rFonts w:ascii="Times New Roman" w:eastAsia="Calibri" w:hAnsi="Times New Roman" w:cs="Arial Unicode MS"/>
      <w:kern w:val="0"/>
      <w:sz w:val="24"/>
      <w:szCs w:val="24"/>
      <w:lang w:val="hr-HR" w:eastAsia="hr-HR" w:bidi="zh-CN"/>
    </w:rPr>
  </w:style>
  <w:style w:type="paragraph" w:customStyle="1" w:styleId="Style3">
    <w:name w:val="Style3"/>
    <w:basedOn w:val="Normal"/>
    <w:qFormat/>
    <w:rsid w:val="00CF182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Arial Unicode MS"/>
      <w:kern w:val="0"/>
      <w:sz w:val="24"/>
      <w:szCs w:val="24"/>
      <w:lang w:val="hr-HR" w:eastAsia="hr-HR" w:bidi="zh-CN"/>
    </w:rPr>
  </w:style>
  <w:style w:type="paragraph" w:styleId="FootnoteText">
    <w:name w:val="footnote text"/>
    <w:basedOn w:val="Normal"/>
    <w:link w:val="FootnoteTextChar"/>
    <w:uiPriority w:val="99"/>
    <w:unhideWhenUsed/>
    <w:rsid w:val="00D1605A"/>
    <w:pPr>
      <w:spacing w:after="200" w:line="276" w:lineRule="auto"/>
    </w:pPr>
    <w:rPr>
      <w:rFonts w:ascii="Calibri" w:eastAsia="Calibri" w:hAnsi="Calibri"/>
      <w:kern w:val="0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05A"/>
    <w:rPr>
      <w:rFonts w:ascii="Calibri" w:eastAsia="Calibri" w:hAnsi="Calibri"/>
      <w:kern w:val="0"/>
      <w:sz w:val="20"/>
      <w:lang w:val="hr-HR"/>
    </w:rPr>
  </w:style>
  <w:style w:type="character" w:customStyle="1" w:styleId="ListParagraphChar">
    <w:name w:val="List Paragraph Char"/>
    <w:link w:val="ListParagraph"/>
    <w:uiPriority w:val="34"/>
    <w:rsid w:val="00D1605A"/>
    <w:rPr>
      <w:lang w:eastAsia="ja-JP"/>
    </w:rPr>
  </w:style>
  <w:style w:type="paragraph" w:styleId="NormalWeb">
    <w:name w:val="Normal (Web)"/>
    <w:basedOn w:val="Normal"/>
    <w:unhideWhenUsed/>
    <w:rsid w:val="000A14D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EA0814"/>
    <w:pPr>
      <w:spacing w:after="120" w:line="480" w:lineRule="auto"/>
    </w:pPr>
    <w:rPr>
      <w:rFonts w:ascii="Calibri" w:eastAsia="Times New Roman" w:hAnsi="Calibri"/>
      <w:kern w:val="0"/>
      <w:sz w:val="22"/>
      <w:szCs w:val="22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EA0814"/>
    <w:rPr>
      <w:rFonts w:ascii="Calibri" w:eastAsia="Times New Roman" w:hAnsi="Calibri"/>
      <w:kern w:val="0"/>
      <w:sz w:val="22"/>
      <w:szCs w:val="22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251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LightShading-Accent1">
    <w:name w:val="Light Shading Accent 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cindri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kipedia.com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13D61AD2-4574-4FE2-9351-E7F96D6D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1</TotalTime>
  <Pages>35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46479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3. GODINA – studija za Rani i predškolski odgoj i obrazovanje          - 5. semestar</dc:subject>
  <dc:creator>Maja Cindric</dc:creator>
  <cp:lastModifiedBy>Josip</cp:lastModifiedBy>
  <cp:revision>2</cp:revision>
  <cp:lastPrinted>2018-10-09T09:47:00Z</cp:lastPrinted>
  <dcterms:created xsi:type="dcterms:W3CDTF">2019-10-01T08:29:00Z</dcterms:created>
  <dcterms:modified xsi:type="dcterms:W3CDTF">2019-10-01T08:29:00Z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