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E15C91" w:rsidRPr="00D91C64" w:rsidTr="007C5EA6">
        <w:trPr>
          <w:trHeight w:val="90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Odjel za anglistiku, Preddiplomski studij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91C64">
              <w:rPr>
                <w:b/>
                <w:sz w:val="22"/>
                <w:szCs w:val="22"/>
              </w:rPr>
              <w:t>BRITANSKI ROMAN 2. POLOVICE 20.st.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Izborni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3.</w:t>
            </w:r>
          </w:p>
        </w:tc>
        <w:tc>
          <w:tcPr>
            <w:tcW w:w="2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VI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3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Nastavnik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91C64">
              <w:rPr>
                <w:b/>
                <w:sz w:val="22"/>
                <w:szCs w:val="22"/>
              </w:rPr>
              <w:t xml:space="preserve">Doc.dr.sc. Vesna </w:t>
            </w:r>
            <w:proofErr w:type="spellStart"/>
            <w:r w:rsidRPr="00D91C64">
              <w:rPr>
                <w:b/>
                <w:sz w:val="22"/>
                <w:szCs w:val="22"/>
              </w:rPr>
              <w:t>Ukić</w:t>
            </w:r>
            <w:proofErr w:type="spellEnd"/>
            <w:r w:rsidRPr="00D91C64">
              <w:rPr>
                <w:b/>
                <w:sz w:val="22"/>
                <w:szCs w:val="22"/>
              </w:rPr>
              <w:t xml:space="preserve"> Košta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5" w:history="1">
              <w:r w:rsidRPr="00D91C64">
                <w:rPr>
                  <w:rStyle w:val="Hyperlink"/>
                  <w:sz w:val="22"/>
                  <w:szCs w:val="22"/>
                </w:rPr>
                <w:t>vukic@unizd.hr</w:t>
              </w:r>
            </w:hyperlink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Naknadno će biti objavljeno. 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308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Učionica 131 (3.kat)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Predavanja, seminari i konzultacije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2 (predavanja) + 1 (seminar)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Kontinuirano praćenje studentskih obveza tijekom cijelog semestra (redovitost, aktivnost na seminarima, dva pismena kolokvija (eseji) i usmeni ispit)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Kolokviji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3. termin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4. termin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Ispitni rokovi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3. termin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4. termin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Instrumentalne kompetencije: temeljno opće znanje struke, sposobnost analize i sinteze</w:t>
            </w:r>
          </w:p>
          <w:p w:rsidR="00E15C91" w:rsidRPr="00D91C64" w:rsidRDefault="00E15C91" w:rsidP="007C5EA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proofErr w:type="spellStart"/>
            <w:r w:rsidRPr="00D91C64">
              <w:rPr>
                <w:sz w:val="22"/>
                <w:szCs w:val="22"/>
              </w:rPr>
              <w:t>Interpersonalne</w:t>
            </w:r>
            <w:proofErr w:type="spellEnd"/>
            <w:r w:rsidRPr="00D91C64">
              <w:rPr>
                <w:sz w:val="22"/>
                <w:szCs w:val="22"/>
              </w:rPr>
              <w:t xml:space="preserve"> kompetencije: uvažavanje raznolikosti i multikulturalnosti, sposobnost kritičke argumentacije</w:t>
            </w:r>
          </w:p>
          <w:p w:rsidR="00E15C91" w:rsidRPr="00D91C64" w:rsidRDefault="00E15C91" w:rsidP="007C5EA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Sustavne kompetencije: razvijanje samostalnosti i slobode izražavanja, sposobnost kritičkog mišljenja, sposobnost samostalnog rada na intelektualnoj temi i istraživačkom problemu, sposobnost analize i pisanja</w:t>
            </w:r>
          </w:p>
          <w:p w:rsidR="00E15C91" w:rsidRPr="00D91C64" w:rsidRDefault="00E15C91" w:rsidP="007C5EA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Predmetu svojstvene kompetencije: sposobnost </w:t>
            </w:r>
            <w:proofErr w:type="spellStart"/>
            <w:r w:rsidRPr="00D91C64">
              <w:rPr>
                <w:sz w:val="22"/>
                <w:szCs w:val="22"/>
              </w:rPr>
              <w:t>kontekstualiziranja</w:t>
            </w:r>
            <w:proofErr w:type="spellEnd"/>
            <w:r w:rsidRPr="00D91C64">
              <w:rPr>
                <w:sz w:val="22"/>
                <w:szCs w:val="22"/>
              </w:rPr>
              <w:t xml:space="preserve"> teme, sposobnost primjene sekundarnih naslova u postupku analize književnog teksta, razvijanje samostalnosti u odabiru i razradi teme (pismena prezentacija)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Upisan VI </w:t>
            </w:r>
            <w:proofErr w:type="spellStart"/>
            <w:r w:rsidRPr="00D91C64">
              <w:rPr>
                <w:sz w:val="22"/>
                <w:szCs w:val="22"/>
              </w:rPr>
              <w:t>semester</w:t>
            </w:r>
            <w:proofErr w:type="spellEnd"/>
            <w:r w:rsidRPr="00D91C64">
              <w:rPr>
                <w:sz w:val="22"/>
                <w:szCs w:val="22"/>
              </w:rPr>
              <w:t xml:space="preserve"> studija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91C64">
              <w:rPr>
                <w:b/>
                <w:bCs/>
                <w:sz w:val="22"/>
                <w:szCs w:val="22"/>
              </w:rPr>
              <w:t>Sadržaj kolegija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tabs>
                <w:tab w:val="left" w:pos="282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tabs>
                <w:tab w:val="left" w:pos="282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F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Ovaj kolegij sagledava britanski roman druge pol. 20.st. ponajviše iz perspektive postmodernizma i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postkolonijalizma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, te se fokusira na najreprezentativnije prozne tekstove napisane </w:t>
            </w:r>
            <w:r>
              <w:rPr>
                <w:rFonts w:eastAsia="Calibri"/>
                <w:sz w:val="22"/>
                <w:szCs w:val="22"/>
                <w:lang w:eastAsia="en-US"/>
              </w:rPr>
              <w:t>nakon 2.svjetskog rata pa do kraja 20.st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. Kolegij će se također osvrnuti na to je li je pojam „britanski roman“ danas još uvijek održivi koncept i za primjere uzeti autore i autorice uz koje se obično vezuje (mikro)nacionalni identitet (English, Scottish,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Welsh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, itd.) i umnogome složeniji i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heterogeniji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hibridni britanski identitet koji nastaje u 2.polovici 20.st. kao posljedica migracija iz nekadašnjih britanskih kolonija i stvaranja dijaspore (npr.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black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British,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black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Scottish, British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Indian).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Čitat ćemo odabrane romane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G. Orwella, 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Spark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>, J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F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>owlesa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Rhys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Rushdiea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A.S.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Byatt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McEwana, K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Ishigura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>, J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Kay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>, A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Graya</w:t>
            </w:r>
            <w:proofErr w:type="spellEnd"/>
            <w:r w:rsidRPr="003F6F57">
              <w:rPr>
                <w:rFonts w:eastAsia="Calibri"/>
                <w:sz w:val="22"/>
                <w:szCs w:val="22"/>
                <w:lang w:eastAsia="en-US"/>
              </w:rPr>
              <w:t>, J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F6F57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>lloway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H,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Kureishia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>, J.M. Coetzee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i drugih, te na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njihova djela</w:t>
            </w:r>
            <w:r w:rsidRPr="003F6F57">
              <w:rPr>
                <w:rFonts w:eastAsia="Calibri"/>
                <w:sz w:val="22"/>
                <w:szCs w:val="22"/>
                <w:lang w:eastAsia="en-US"/>
              </w:rPr>
              <w:t xml:space="preserve"> primjenjivati relevantne teorijske i kritičke tekstove.     </w:t>
            </w:r>
            <w:r w:rsidRPr="003F6F57">
              <w:rPr>
                <w:vanish/>
                <w:color w:val="222222"/>
                <w:sz w:val="22"/>
                <w:szCs w:val="22"/>
                <w:lang w:eastAsia="en-US"/>
              </w:rPr>
              <w:t xml:space="preserve"> In this course a specific theme in modern and contemporary English-Irish literature is studied against the background of relevant literary, psychoanalytical and philosophical theories. The case and the particular corpus of texts to be studied change every year.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</w:p>
          <w:p w:rsidR="00E15C91" w:rsidRPr="00D91C64" w:rsidRDefault="00E15C91" w:rsidP="007C5EA6">
            <w:pPr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Bradbury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M.,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Modern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British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Novel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1878-2001</w:t>
            </w:r>
            <w:r w:rsidRPr="00D91C64">
              <w:rPr>
                <w:rFonts w:eastAsia="Calibri"/>
                <w:sz w:val="22"/>
                <w:szCs w:val="22"/>
              </w:rPr>
              <w:t xml:space="preserve">, London: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Penguin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Books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>, 2001. (određena poglavlja)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Bradford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R.,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Novel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Now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Blackwell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Publishing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2007. (određena poglavlja) </w:t>
            </w:r>
          </w:p>
          <w:p w:rsidR="00E15C91" w:rsidRPr="00A27081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Butler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C.,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Postmodernism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Oxford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>, OUP, 2002.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Clingman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S.,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Grammar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of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Identity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>:</w:t>
            </w:r>
            <w:r w:rsidRPr="00D91C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Oxford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>, OUP, 2009. (određena poglavlja)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27081">
              <w:rPr>
                <w:sz w:val="22"/>
                <w:szCs w:val="22"/>
                <w:lang w:eastAsia="en-US"/>
              </w:rPr>
              <w:t>Head</w:t>
            </w:r>
            <w:proofErr w:type="spellEnd"/>
            <w:r w:rsidRPr="00A27081">
              <w:rPr>
                <w:sz w:val="22"/>
                <w:szCs w:val="22"/>
                <w:lang w:eastAsia="en-US"/>
              </w:rPr>
              <w:t xml:space="preserve">, D., </w:t>
            </w:r>
            <w:proofErr w:type="spellStart"/>
            <w:r w:rsidRPr="00A27081">
              <w:rPr>
                <w:i/>
                <w:iCs/>
                <w:sz w:val="22"/>
                <w:szCs w:val="22"/>
                <w:lang w:eastAsia="en-US"/>
              </w:rPr>
              <w:t>Modern</w:t>
            </w:r>
            <w:proofErr w:type="spellEnd"/>
            <w:r w:rsidRPr="00A27081">
              <w:rPr>
                <w:i/>
                <w:iCs/>
                <w:sz w:val="22"/>
                <w:szCs w:val="22"/>
                <w:lang w:eastAsia="en-US"/>
              </w:rPr>
              <w:t xml:space="preserve"> British </w:t>
            </w:r>
            <w:proofErr w:type="spellStart"/>
            <w:r w:rsidRPr="00A27081">
              <w:rPr>
                <w:i/>
                <w:iCs/>
                <w:sz w:val="22"/>
                <w:szCs w:val="22"/>
                <w:lang w:eastAsia="en-US"/>
              </w:rPr>
              <w:t>Fiction</w:t>
            </w:r>
            <w:proofErr w:type="spellEnd"/>
            <w:r w:rsidRPr="00A27081">
              <w:rPr>
                <w:i/>
                <w:iCs/>
                <w:sz w:val="22"/>
                <w:szCs w:val="22"/>
                <w:lang w:eastAsia="en-US"/>
              </w:rPr>
              <w:t>: 1950-2000</w:t>
            </w:r>
            <w:r w:rsidRPr="00A27081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081">
              <w:rPr>
                <w:sz w:val="22"/>
                <w:szCs w:val="22"/>
                <w:lang w:eastAsia="en-US"/>
              </w:rPr>
              <w:t>Cambridge</w:t>
            </w:r>
            <w:proofErr w:type="spellEnd"/>
            <w:r w:rsidRPr="00A27081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A27081">
              <w:rPr>
                <w:sz w:val="22"/>
                <w:szCs w:val="22"/>
                <w:lang w:eastAsia="en-US"/>
              </w:rPr>
              <w:t>Cambridge</w:t>
            </w:r>
            <w:proofErr w:type="spellEnd"/>
            <w:r w:rsidRPr="00A27081">
              <w:rPr>
                <w:sz w:val="22"/>
                <w:szCs w:val="22"/>
                <w:lang w:eastAsia="en-US"/>
              </w:rPr>
              <w:t xml:space="preserve"> University Press, 2002. (određena poglavlja)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91C64">
              <w:rPr>
                <w:sz w:val="22"/>
                <w:szCs w:val="22"/>
              </w:rPr>
              <w:t>Luckhurst</w:t>
            </w:r>
            <w:proofErr w:type="spellEnd"/>
            <w:r w:rsidRPr="00D91C64">
              <w:rPr>
                <w:sz w:val="22"/>
                <w:szCs w:val="22"/>
              </w:rPr>
              <w:t>, R., P. Marks (</w:t>
            </w:r>
            <w:proofErr w:type="spellStart"/>
            <w:r w:rsidRPr="00D91C64">
              <w:rPr>
                <w:sz w:val="22"/>
                <w:szCs w:val="22"/>
              </w:rPr>
              <w:t>eds</w:t>
            </w:r>
            <w:proofErr w:type="spellEnd"/>
            <w:r w:rsidRPr="00D91C64">
              <w:rPr>
                <w:sz w:val="22"/>
                <w:szCs w:val="22"/>
              </w:rPr>
              <w:t xml:space="preserve">.), </w:t>
            </w:r>
            <w:r w:rsidRPr="00D91C64">
              <w:rPr>
                <w:i/>
                <w:sz w:val="22"/>
                <w:szCs w:val="22"/>
              </w:rPr>
              <w:t xml:space="preserve">Literature </w:t>
            </w:r>
            <w:proofErr w:type="spellStart"/>
            <w:r w:rsidRPr="00D91C64">
              <w:rPr>
                <w:i/>
                <w:sz w:val="22"/>
                <w:szCs w:val="22"/>
              </w:rPr>
              <w:t>and</w:t>
            </w:r>
            <w:proofErr w:type="spellEnd"/>
            <w:r w:rsidRPr="00D91C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i/>
                <w:sz w:val="22"/>
                <w:szCs w:val="22"/>
              </w:rPr>
              <w:t>Contemporary</w:t>
            </w:r>
            <w:proofErr w:type="spellEnd"/>
            <w:r w:rsidRPr="00D91C64">
              <w:rPr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sz w:val="22"/>
                <w:szCs w:val="22"/>
              </w:rPr>
              <w:t>Harlow</w:t>
            </w:r>
            <w:proofErr w:type="spellEnd"/>
            <w:r w:rsidRPr="00D91C64">
              <w:rPr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sz w:val="22"/>
                <w:szCs w:val="22"/>
              </w:rPr>
              <w:t>Essex</w:t>
            </w:r>
            <w:proofErr w:type="spellEnd"/>
            <w:r w:rsidRPr="00D91C64">
              <w:rPr>
                <w:sz w:val="22"/>
                <w:szCs w:val="22"/>
              </w:rPr>
              <w:t xml:space="preserve">: </w:t>
            </w:r>
            <w:proofErr w:type="spellStart"/>
            <w:r w:rsidRPr="00D91C64">
              <w:rPr>
                <w:sz w:val="22"/>
                <w:szCs w:val="22"/>
              </w:rPr>
              <w:t>Longman</w:t>
            </w:r>
            <w:proofErr w:type="spellEnd"/>
            <w:r w:rsidRPr="00D91C64">
              <w:rPr>
                <w:sz w:val="22"/>
                <w:szCs w:val="22"/>
              </w:rPr>
              <w:t>, 1999. (određena poglavlja)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91C64">
              <w:rPr>
                <w:sz w:val="22"/>
                <w:szCs w:val="22"/>
              </w:rPr>
              <w:t>Waugh</w:t>
            </w:r>
            <w:proofErr w:type="spellEnd"/>
            <w:r w:rsidRPr="00D91C64">
              <w:rPr>
                <w:sz w:val="22"/>
                <w:szCs w:val="22"/>
              </w:rPr>
              <w:t xml:space="preserve">, P., </w:t>
            </w:r>
            <w:proofErr w:type="spellStart"/>
            <w:r w:rsidRPr="00D91C64">
              <w:rPr>
                <w:i/>
                <w:sz w:val="22"/>
                <w:szCs w:val="22"/>
              </w:rPr>
              <w:t>Metafiction</w:t>
            </w:r>
            <w:proofErr w:type="spellEnd"/>
            <w:r w:rsidRPr="00D91C64">
              <w:rPr>
                <w:i/>
                <w:sz w:val="22"/>
                <w:szCs w:val="22"/>
              </w:rPr>
              <w:t xml:space="preserve">, </w:t>
            </w:r>
            <w:r w:rsidRPr="00D91C64">
              <w:rPr>
                <w:sz w:val="22"/>
                <w:szCs w:val="22"/>
              </w:rPr>
              <w:t xml:space="preserve">London, New </w:t>
            </w:r>
            <w:proofErr w:type="spellStart"/>
            <w:r w:rsidRPr="00D91C64">
              <w:rPr>
                <w:sz w:val="22"/>
                <w:szCs w:val="22"/>
              </w:rPr>
              <w:t>Yoor</w:t>
            </w:r>
            <w:proofErr w:type="spellEnd"/>
            <w:r w:rsidRPr="00D91C64">
              <w:rPr>
                <w:sz w:val="22"/>
                <w:szCs w:val="22"/>
              </w:rPr>
              <w:t xml:space="preserve">: </w:t>
            </w:r>
            <w:proofErr w:type="spellStart"/>
            <w:r w:rsidRPr="00D91C64">
              <w:rPr>
                <w:sz w:val="22"/>
                <w:szCs w:val="22"/>
              </w:rPr>
              <w:t>Routledge</w:t>
            </w:r>
            <w:proofErr w:type="spellEnd"/>
            <w:r w:rsidRPr="00D91C64">
              <w:rPr>
                <w:sz w:val="22"/>
                <w:szCs w:val="22"/>
              </w:rPr>
              <w:t>, 2003. (određena poglavlja)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C91" w:rsidRPr="00D91C64" w:rsidRDefault="00E15C91" w:rsidP="007C5EA6">
            <w:pPr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Boehmer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E.,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Postcolonial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Oxford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OUP, 2005. (određena poglavlja) </w:t>
            </w:r>
          </w:p>
          <w:p w:rsidR="00E15C91" w:rsidRPr="00A27081" w:rsidRDefault="00E15C91" w:rsidP="007C5EA6">
            <w:pPr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Boxall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Peter,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Twenty-first-Century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Fiction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Cambridge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>, CUP, 2013. (određena poglavlja)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Craig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C.,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Modern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Scottish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Novel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Edinburh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>, Edinburg University Press, 2002. (određena poglavlja)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Crosthwaite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P., </w:t>
            </w:r>
            <w:r w:rsidRPr="00D91C64">
              <w:rPr>
                <w:rFonts w:eastAsia="Calibri"/>
                <w:i/>
                <w:sz w:val="22"/>
                <w:szCs w:val="22"/>
              </w:rPr>
              <w:t>Trauma,</w:t>
            </w:r>
            <w:r w:rsidRPr="00D91C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Postmodernism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and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Aftermath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of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World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War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II</w:t>
            </w:r>
            <w:r w:rsidRPr="00D91C64">
              <w:rPr>
                <w:rFonts w:eastAsia="Calibri"/>
                <w:sz w:val="22"/>
                <w:szCs w:val="22"/>
              </w:rPr>
              <w:t xml:space="preserve">, London: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Palgrave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 Macmillan, 2009. (određena poglavlja)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Padley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S.,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Key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Concepts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in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Contemporary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Palgrave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 Macmillan, 2006. (određena poglavlja)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Shaffer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>, W. B. (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ed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.), </w:t>
            </w:r>
            <w:r w:rsidRPr="00D91C64">
              <w:rPr>
                <w:rFonts w:eastAsia="Calibri"/>
                <w:i/>
                <w:sz w:val="22"/>
                <w:szCs w:val="22"/>
              </w:rPr>
              <w:t xml:space="preserve">A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Companion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to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British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and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Irish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Novel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Blackwell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>, 2007. (određena poglavlja)</w:t>
            </w:r>
          </w:p>
          <w:p w:rsidR="00E15C91" w:rsidRPr="00D91C64" w:rsidRDefault="00E15C91" w:rsidP="007C5EA6">
            <w:pPr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C15CC">
              <w:rPr>
                <w:rFonts w:eastAsia="Calibri"/>
                <w:sz w:val="22"/>
                <w:szCs w:val="22"/>
                <w:lang w:eastAsia="en-US"/>
              </w:rPr>
              <w:t>Thieme</w:t>
            </w:r>
            <w:proofErr w:type="spellEnd"/>
            <w:r w:rsidRPr="00DC15C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J. (</w:t>
            </w:r>
            <w:proofErr w:type="spellStart"/>
            <w:r w:rsidRPr="00DC15CC">
              <w:rPr>
                <w:rFonts w:eastAsia="Calibri"/>
                <w:sz w:val="22"/>
                <w:szCs w:val="22"/>
                <w:lang w:eastAsia="en-US"/>
              </w:rPr>
              <w:t>ed</w:t>
            </w:r>
            <w:proofErr w:type="spellEnd"/>
            <w:r w:rsidRPr="00DC15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DC15C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C15CC">
              <w:rPr>
                <w:rFonts w:eastAsia="Calibri"/>
                <w:i/>
                <w:sz w:val="22"/>
                <w:szCs w:val="22"/>
                <w:lang w:eastAsia="en-US"/>
              </w:rPr>
              <w:t xml:space="preserve">Commonwealth </w:t>
            </w:r>
            <w:proofErr w:type="spellStart"/>
            <w:r w:rsidRPr="00DC15CC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DC15CC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Post-</w:t>
            </w:r>
            <w:proofErr w:type="spellStart"/>
            <w:r w:rsidRPr="00DC15CC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DC15CC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The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British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Council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>, 2000. (određena poglavlja)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Woodward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K., 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ed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Identity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Difference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New York; SAGE 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Publications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2002. (određena poglavlja) 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lastRenderedPageBreak/>
              <w:t xml:space="preserve">Svi dostupni web-izvori koji se tiču tema koje se na predavanjima / seminarima raspravljaju. 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Sveučilišne studentske ankete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Izvršene sve obveze i položen ispit iz kolegija </w:t>
            </w: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1 ECTS –  redovno pohađanje nastave i aktivnost na seminarima  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 ECTS –  dva pismena kolokvija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 ECTS –  priprema gradiva za usmeni ispit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20% - redovito i aktivno praćenje nastave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80% - angažiranost u seminarskim diskusijama; kolokviji; usmeni ispit 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Na usmeni ispit studenti dolaze s listom čitanja. Studenti moraju pročitati četiri romana po svom izboru.  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9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030"/>
        <w:gridCol w:w="5082"/>
        <w:gridCol w:w="2635"/>
      </w:tblGrid>
      <w:tr w:rsidR="00E15C91" w:rsidRPr="00D91C64" w:rsidTr="007C5EA6">
        <w:trPr>
          <w:trHeight w:val="91"/>
        </w:trPr>
        <w:tc>
          <w:tcPr>
            <w:tcW w:w="9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Nastavne teme-predavanja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Literatura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1C64">
              <w:rPr>
                <w:rFonts w:eastAsia="Calibri"/>
                <w:sz w:val="22"/>
                <w:szCs w:val="22"/>
              </w:rPr>
              <w:t>Uvodno predavanje; upoznavanje s kolegijem; upoznavanje studenata s obvezama naspram kolegija; dogovaranje seminarskih tema i diskusija; dogovaranje primarne i sekundarne literature za kolegij</w:t>
            </w: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2.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5152">
              <w:rPr>
                <w:rFonts w:eastAsia="Calibri"/>
                <w:sz w:val="22"/>
                <w:szCs w:val="22"/>
                <w:lang w:eastAsia="en-US"/>
              </w:rPr>
              <w:t xml:space="preserve">Postmodernizam i </w:t>
            </w:r>
            <w:proofErr w:type="spellStart"/>
            <w:r w:rsidRPr="00445152">
              <w:rPr>
                <w:rFonts w:eastAsia="Calibri"/>
                <w:sz w:val="22"/>
                <w:szCs w:val="22"/>
                <w:lang w:eastAsia="en-US"/>
              </w:rPr>
              <w:t>postmoderna</w:t>
            </w:r>
            <w:proofErr w:type="spellEnd"/>
            <w:r w:rsidRPr="00445152">
              <w:rPr>
                <w:rFonts w:eastAsia="Calibri"/>
                <w:sz w:val="22"/>
                <w:szCs w:val="22"/>
                <w:lang w:eastAsia="en-US"/>
              </w:rPr>
              <w:t xml:space="preserve"> književnost; tradicija i eksperiment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sz w:val="22"/>
                <w:szCs w:val="22"/>
              </w:rPr>
              <w:t>Butler</w:t>
            </w:r>
            <w:proofErr w:type="spellEnd"/>
            <w:r w:rsidRPr="00D91C64">
              <w:rPr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i/>
                <w:sz w:val="22"/>
                <w:szCs w:val="22"/>
              </w:rPr>
              <w:t>Postmodernism</w:t>
            </w:r>
            <w:proofErr w:type="spellEnd"/>
            <w:r w:rsidRPr="00D91C64">
              <w:rPr>
                <w:sz w:val="22"/>
                <w:szCs w:val="22"/>
              </w:rPr>
              <w:t xml:space="preserve">; 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Crosthwaite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</w:t>
            </w:r>
            <w:r w:rsidRPr="00D91C64">
              <w:rPr>
                <w:rFonts w:eastAsia="Calibri"/>
                <w:i/>
                <w:sz w:val="22"/>
                <w:szCs w:val="22"/>
              </w:rPr>
              <w:t>Trauma,</w:t>
            </w:r>
            <w:r w:rsidRPr="00D91C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Postmodernism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</w:rPr>
              <w:t>(određena poglavlja);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sz w:val="22"/>
                <w:szCs w:val="22"/>
              </w:rPr>
              <w:t>Padley</w:t>
            </w:r>
            <w:proofErr w:type="spellEnd"/>
            <w:r w:rsidRPr="00D91C64">
              <w:rPr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i/>
                <w:sz w:val="22"/>
                <w:szCs w:val="22"/>
              </w:rPr>
              <w:t>Key</w:t>
            </w:r>
            <w:proofErr w:type="spellEnd"/>
            <w:r w:rsidRPr="00D91C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i/>
                <w:sz w:val="22"/>
                <w:szCs w:val="22"/>
              </w:rPr>
              <w:t>Concepts</w:t>
            </w:r>
            <w:proofErr w:type="spellEnd"/>
            <w:r w:rsidRPr="00D91C64">
              <w:rPr>
                <w:i/>
                <w:sz w:val="22"/>
                <w:szCs w:val="22"/>
              </w:rPr>
              <w:t>…</w:t>
            </w:r>
            <w:r w:rsidRPr="00D91C64">
              <w:rPr>
                <w:sz w:val="22"/>
                <w:szCs w:val="22"/>
              </w:rPr>
              <w:t xml:space="preserve"> (određena poglavlja); </w:t>
            </w:r>
            <w:proofErr w:type="spellStart"/>
            <w:r w:rsidRPr="00D91C64">
              <w:rPr>
                <w:sz w:val="22"/>
                <w:szCs w:val="22"/>
              </w:rPr>
              <w:t>Shaffer</w:t>
            </w:r>
            <w:proofErr w:type="spellEnd"/>
            <w:r w:rsidRPr="00D91C64">
              <w:rPr>
                <w:sz w:val="22"/>
                <w:szCs w:val="22"/>
              </w:rPr>
              <w:t xml:space="preserve">, </w:t>
            </w:r>
            <w:r w:rsidRPr="00D91C64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D91C64">
              <w:rPr>
                <w:i/>
                <w:sz w:val="22"/>
                <w:szCs w:val="22"/>
              </w:rPr>
              <w:t>Companion</w:t>
            </w:r>
            <w:proofErr w:type="spellEnd"/>
            <w:r w:rsidRPr="00D91C64">
              <w:rPr>
                <w:i/>
                <w:sz w:val="22"/>
                <w:szCs w:val="22"/>
              </w:rPr>
              <w:t>…</w:t>
            </w:r>
            <w:r w:rsidRPr="00D91C64">
              <w:rPr>
                <w:sz w:val="22"/>
                <w:szCs w:val="22"/>
              </w:rPr>
              <w:t xml:space="preserve"> 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3.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1C64">
              <w:rPr>
                <w:rFonts w:eastAsia="Calibri"/>
                <w:sz w:val="22"/>
                <w:szCs w:val="22"/>
                <w:lang w:eastAsia="en-US"/>
              </w:rPr>
              <w:t>Pitanja (auto)re</w:t>
            </w:r>
            <w:r w:rsidRPr="00445152">
              <w:rPr>
                <w:rFonts w:eastAsia="Calibri"/>
                <w:sz w:val="22"/>
                <w:szCs w:val="22"/>
                <w:lang w:eastAsia="en-US"/>
              </w:rPr>
              <w:t xml:space="preserve">ferencijalnosti </w:t>
            </w:r>
            <w:proofErr w:type="spellStart"/>
            <w:r w:rsidRPr="00445152">
              <w:rPr>
                <w:rFonts w:eastAsia="Calibri"/>
                <w:sz w:val="22"/>
                <w:szCs w:val="22"/>
                <w:lang w:eastAsia="en-US"/>
              </w:rPr>
              <w:t>narativa</w:t>
            </w:r>
            <w:proofErr w:type="spellEnd"/>
            <w:r w:rsidRPr="004451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sz w:val="22"/>
                <w:szCs w:val="22"/>
              </w:rPr>
              <w:t>Butler</w:t>
            </w:r>
            <w:proofErr w:type="spellEnd"/>
            <w:r w:rsidRPr="00D91C64">
              <w:rPr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i/>
                <w:sz w:val="22"/>
                <w:szCs w:val="22"/>
              </w:rPr>
              <w:t>Postmodernism</w:t>
            </w:r>
            <w:proofErr w:type="spellEnd"/>
            <w:r w:rsidRPr="00D91C64">
              <w:rPr>
                <w:sz w:val="22"/>
                <w:szCs w:val="22"/>
              </w:rPr>
              <w:t xml:space="preserve">; </w:t>
            </w:r>
            <w:proofErr w:type="spellStart"/>
            <w:r w:rsidRPr="00D91C64">
              <w:rPr>
                <w:sz w:val="22"/>
                <w:szCs w:val="22"/>
              </w:rPr>
              <w:t>Waugh</w:t>
            </w:r>
            <w:proofErr w:type="spellEnd"/>
            <w:r w:rsidRPr="00D91C64">
              <w:rPr>
                <w:sz w:val="22"/>
                <w:szCs w:val="22"/>
              </w:rPr>
              <w:t xml:space="preserve">, </w:t>
            </w:r>
            <w:proofErr w:type="spellStart"/>
            <w:r w:rsidRPr="00D91C64">
              <w:rPr>
                <w:i/>
                <w:sz w:val="22"/>
                <w:szCs w:val="22"/>
              </w:rPr>
              <w:t>Metafiction</w:t>
            </w:r>
            <w:proofErr w:type="spellEnd"/>
            <w:r w:rsidRPr="00D91C64">
              <w:rPr>
                <w:sz w:val="22"/>
                <w:szCs w:val="22"/>
              </w:rPr>
              <w:t xml:space="preserve"> (određena </w:t>
            </w:r>
            <w:proofErr w:type="spellStart"/>
            <w:r w:rsidRPr="00D91C64">
              <w:rPr>
                <w:sz w:val="22"/>
                <w:szCs w:val="22"/>
              </w:rPr>
              <w:t>poglalvja</w:t>
            </w:r>
            <w:proofErr w:type="spellEnd"/>
            <w:r w:rsidRPr="00D91C64">
              <w:rPr>
                <w:sz w:val="22"/>
                <w:szCs w:val="22"/>
              </w:rPr>
              <w:t xml:space="preserve">); </w:t>
            </w:r>
            <w:proofErr w:type="spellStart"/>
            <w:r w:rsidRPr="00D91C64">
              <w:rPr>
                <w:sz w:val="22"/>
                <w:szCs w:val="22"/>
                <w:lang w:eastAsia="en-US"/>
              </w:rPr>
              <w:t>Head</w:t>
            </w:r>
            <w:proofErr w:type="spellEnd"/>
            <w:r w:rsidRPr="00A2708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081">
              <w:rPr>
                <w:i/>
                <w:iCs/>
                <w:sz w:val="22"/>
                <w:szCs w:val="22"/>
                <w:lang w:eastAsia="en-US"/>
              </w:rPr>
              <w:t>Modern</w:t>
            </w:r>
            <w:proofErr w:type="spellEnd"/>
            <w:r w:rsidRPr="00A27081">
              <w:rPr>
                <w:i/>
                <w:iCs/>
                <w:sz w:val="22"/>
                <w:szCs w:val="22"/>
                <w:lang w:eastAsia="en-US"/>
              </w:rPr>
              <w:t xml:space="preserve"> British </w:t>
            </w:r>
            <w:proofErr w:type="spellStart"/>
            <w:r w:rsidRPr="00A27081">
              <w:rPr>
                <w:i/>
                <w:iCs/>
                <w:sz w:val="22"/>
                <w:szCs w:val="22"/>
                <w:lang w:eastAsia="en-US"/>
              </w:rPr>
              <w:t>Fiction</w:t>
            </w:r>
            <w:proofErr w:type="spellEnd"/>
            <w:r w:rsidRPr="00D91C64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iCs/>
                <w:sz w:val="22"/>
                <w:szCs w:val="22"/>
                <w:lang w:eastAsia="en-US"/>
              </w:rPr>
              <w:t>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4.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1C64">
              <w:rPr>
                <w:rFonts w:eastAsia="Calibri"/>
                <w:sz w:val="22"/>
                <w:szCs w:val="22"/>
              </w:rPr>
              <w:t>Povijest i povijesti u postmodernističkom romanu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sz w:val="22"/>
                <w:szCs w:val="22"/>
                <w:lang w:val="en-US" w:eastAsia="zh-CN"/>
              </w:rPr>
            </w:pP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Padley, 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>Key Concepts…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proofErr w:type="gram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proofErr w:type="gram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); 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lastRenderedPageBreak/>
              <w:t xml:space="preserve">Shaffer, 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>A Companion…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D91C64">
              <w:rPr>
                <w:rFonts w:eastAsia="Calibri"/>
                <w:sz w:val="22"/>
                <w:szCs w:val="22"/>
              </w:rPr>
              <w:t>Koncept i preispitivanje identiteta u postmodernističkom romanu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Crosthwaite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</w:t>
            </w:r>
            <w:r w:rsidRPr="00D91C64">
              <w:rPr>
                <w:rFonts w:eastAsia="Calibri"/>
                <w:i/>
                <w:sz w:val="22"/>
                <w:szCs w:val="22"/>
              </w:rPr>
              <w:t>Trauma,</w:t>
            </w:r>
            <w:r w:rsidRPr="00D91C6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Postmodernism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</w:rPr>
              <w:t xml:space="preserve">(određena poglavlja); </w:t>
            </w:r>
          </w:p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sz w:val="22"/>
                <w:szCs w:val="22"/>
                <w:lang w:val="en-US" w:eastAsia="zh-CN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Woodward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ed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Identity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Difference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6.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31D7">
              <w:rPr>
                <w:rFonts w:eastAsia="Calibri"/>
                <w:sz w:val="22"/>
                <w:szCs w:val="22"/>
                <w:lang w:eastAsia="en-US"/>
              </w:rPr>
              <w:t>Škotski glasovi, postmodernizam u s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uvremenoj škotskoj književnosti; </w:t>
            </w:r>
            <w:r w:rsidRPr="009031D7">
              <w:rPr>
                <w:rFonts w:eastAsia="Calibri"/>
                <w:sz w:val="22"/>
                <w:szCs w:val="22"/>
                <w:lang w:eastAsia="en-US"/>
              </w:rPr>
              <w:t>hibridni škot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ski identitet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Craig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Modern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Scottish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Novel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(određena poglavlja);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Shaffer,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 xml:space="preserve"> Companion…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)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Clingman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Grammar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…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7.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Britanska proza od </w:t>
            </w:r>
            <w:r w:rsidRPr="00B77EB0">
              <w:rPr>
                <w:rFonts w:eastAsia="Calibri"/>
                <w:sz w:val="22"/>
                <w:szCs w:val="22"/>
                <w:lang w:eastAsia="en-US"/>
              </w:rPr>
              <w:t>1970-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tih naovamo</w:t>
            </w:r>
            <w:r w:rsidRPr="00B77EB0">
              <w:rPr>
                <w:rFonts w:eastAsia="Calibri"/>
                <w:sz w:val="22"/>
                <w:szCs w:val="22"/>
                <w:lang w:eastAsia="en-US"/>
              </w:rPr>
              <w:t>; 'Imperija uzvraća udarac' – multietnički glasovi i identiteti u Velikoj Britaniji i izvan nje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Bradford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Novel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Now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</w:rPr>
              <w:t>(određena poglavlja);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Shaffer,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 xml:space="preserve"> Companion…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); 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Boehmer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E.,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Postcolonial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</w:rPr>
              <w:t xml:space="preserve"> 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8.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pStyle w:val="ListParagraph"/>
              <w:tabs>
                <w:tab w:val="left" w:pos="468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91C64">
              <w:rPr>
                <w:b/>
                <w:sz w:val="22"/>
                <w:szCs w:val="22"/>
              </w:rPr>
              <w:t>kolokvij</w:t>
            </w:r>
            <w:proofErr w:type="spellEnd"/>
          </w:p>
          <w:p w:rsidR="00E15C91" w:rsidRPr="00D91C64" w:rsidRDefault="00E15C91" w:rsidP="007C5EA6">
            <w:pPr>
              <w:pStyle w:val="ListParagraph"/>
              <w:tabs>
                <w:tab w:val="left" w:pos="468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9.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7EB0">
              <w:rPr>
                <w:rFonts w:eastAsia="Calibri"/>
                <w:sz w:val="22"/>
                <w:szCs w:val="22"/>
                <w:lang w:eastAsia="en-US"/>
              </w:rPr>
              <w:t>Postkolonijalizam</w:t>
            </w:r>
            <w:proofErr w:type="spellEnd"/>
            <w:r w:rsidRPr="00B77EB0">
              <w:rPr>
                <w:rFonts w:eastAsia="Calibri"/>
                <w:sz w:val="22"/>
                <w:szCs w:val="22"/>
                <w:lang w:eastAsia="en-US"/>
              </w:rPr>
              <w:t xml:space="preserve"> i postkolonijalna britanska književnost;  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</w:rPr>
              <w:t>Bradford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Novel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Now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</w:rPr>
              <w:t>(određena poglavlja);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Shaffer,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 xml:space="preserve"> Companion…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); 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Boehmer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E.,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Postcolonial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</w:rPr>
              <w:t>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10.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77EB0">
              <w:rPr>
                <w:rFonts w:eastAsia="Calibri"/>
                <w:sz w:val="22"/>
                <w:szCs w:val="22"/>
                <w:lang w:eastAsia="en-US"/>
              </w:rPr>
              <w:t xml:space="preserve">Teoretičari i teorije </w:t>
            </w:r>
            <w:proofErr w:type="spellStart"/>
            <w:r w:rsidRPr="00B77EB0">
              <w:rPr>
                <w:rFonts w:eastAsia="Calibri"/>
                <w:sz w:val="22"/>
                <w:szCs w:val="22"/>
                <w:lang w:eastAsia="en-US"/>
              </w:rPr>
              <w:t>postkolonijalizma</w:t>
            </w:r>
            <w:proofErr w:type="spellEnd"/>
            <w:r w:rsidRPr="00B77EB0">
              <w:rPr>
                <w:rFonts w:eastAsia="Calibri"/>
                <w:sz w:val="22"/>
                <w:szCs w:val="22"/>
                <w:lang w:eastAsia="en-US"/>
              </w:rPr>
              <w:t xml:space="preserve">;  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t>Thieme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>, (</w:t>
            </w:r>
            <w:proofErr w:type="spellStart"/>
            <w:r w:rsidRPr="00DC15CC">
              <w:rPr>
                <w:rFonts w:eastAsia="Calibri"/>
                <w:sz w:val="22"/>
                <w:szCs w:val="22"/>
                <w:lang w:eastAsia="en-US"/>
              </w:rPr>
              <w:t>ed</w:t>
            </w:r>
            <w:proofErr w:type="spellEnd"/>
            <w:r w:rsidRPr="00DC15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DC15C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C15CC">
              <w:rPr>
                <w:rFonts w:eastAsia="Calibri"/>
                <w:i/>
                <w:sz w:val="22"/>
                <w:szCs w:val="22"/>
                <w:lang w:eastAsia="en-US"/>
              </w:rPr>
              <w:t>Commonwealth</w:t>
            </w:r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(određena poglavlja); 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Boehmer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E.,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Postcolonial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</w:rPr>
              <w:t xml:space="preserve"> 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11.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77EB0">
              <w:rPr>
                <w:rFonts w:eastAsia="Calibri"/>
                <w:sz w:val="22"/>
                <w:szCs w:val="22"/>
                <w:lang w:eastAsia="en-US"/>
              </w:rPr>
              <w:t>British-Indian: autori/</w:t>
            </w:r>
            <w:proofErr w:type="spellStart"/>
            <w:r w:rsidRPr="00B77EB0">
              <w:rPr>
                <w:rFonts w:eastAsia="Calibri"/>
                <w:sz w:val="22"/>
                <w:szCs w:val="22"/>
                <w:lang w:eastAsia="en-US"/>
              </w:rPr>
              <w:t>ce</w:t>
            </w:r>
            <w:proofErr w:type="spellEnd"/>
            <w:r w:rsidRPr="00B77EB0">
              <w:rPr>
                <w:rFonts w:eastAsia="Calibri"/>
                <w:sz w:val="22"/>
                <w:szCs w:val="22"/>
                <w:lang w:eastAsia="en-US"/>
              </w:rPr>
              <w:t xml:space="preserve"> indijskog podrijetla;  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Boehmer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E.,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Postcolonial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</w:rPr>
              <w:t xml:space="preserve"> (određena poglavlja); 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Shaffer,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 xml:space="preserve"> Companion…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);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12.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rFonts w:eastAsia="Calibri"/>
                <w:sz w:val="22"/>
                <w:szCs w:val="22"/>
              </w:rPr>
              <w:t>Afrička književnost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Boehmer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E.,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Postcolonial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</w:rPr>
              <w:t xml:space="preserve"> (određena poglavlja); 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Shaffer,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 xml:space="preserve"> Companion…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);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sz w:val="22"/>
                <w:szCs w:val="22"/>
                <w:lang w:eastAsia="en-US"/>
              </w:rPr>
              <w:lastRenderedPageBreak/>
              <w:t>Thieme</w:t>
            </w:r>
            <w:proofErr w:type="spellEnd"/>
            <w:r w:rsidRPr="00D91C64">
              <w:rPr>
                <w:rFonts w:eastAsia="Calibri"/>
                <w:sz w:val="22"/>
                <w:szCs w:val="22"/>
                <w:lang w:eastAsia="en-US"/>
              </w:rPr>
              <w:t>, (</w:t>
            </w:r>
            <w:proofErr w:type="spellStart"/>
            <w:r w:rsidRPr="00DC15CC">
              <w:rPr>
                <w:rFonts w:eastAsia="Calibri"/>
                <w:sz w:val="22"/>
                <w:szCs w:val="22"/>
                <w:lang w:eastAsia="en-US"/>
              </w:rPr>
              <w:t>ed</w:t>
            </w:r>
            <w:proofErr w:type="spellEnd"/>
            <w:r w:rsidRPr="00DC15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DC15C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C15CC">
              <w:rPr>
                <w:rFonts w:eastAsia="Calibri"/>
                <w:i/>
                <w:sz w:val="22"/>
                <w:szCs w:val="22"/>
                <w:lang w:eastAsia="en-US"/>
              </w:rPr>
              <w:t>Commonwealth</w:t>
            </w:r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>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1C64">
              <w:rPr>
                <w:rFonts w:eastAsia="Calibri"/>
                <w:sz w:val="22"/>
                <w:szCs w:val="22"/>
              </w:rPr>
              <w:t xml:space="preserve">Književnost Australije, Novog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Zealanda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>, Kanade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Shaffer,</w:t>
            </w:r>
            <w:r w:rsidRPr="00D91C64">
              <w:rPr>
                <w:rFonts w:eastAsia="SimSun"/>
                <w:i/>
                <w:sz w:val="22"/>
                <w:szCs w:val="22"/>
                <w:lang w:val="en-US" w:eastAsia="zh-CN"/>
              </w:rPr>
              <w:t xml:space="preserve"> Companion…</w:t>
            </w:r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određena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>poglavlja</w:t>
            </w:r>
            <w:proofErr w:type="spellEnd"/>
            <w:r w:rsidRPr="00D91C64">
              <w:rPr>
                <w:rFonts w:eastAsia="SimSun"/>
                <w:sz w:val="22"/>
                <w:szCs w:val="22"/>
                <w:lang w:val="en-US" w:eastAsia="zh-CN"/>
              </w:rPr>
              <w:t xml:space="preserve">); </w:t>
            </w:r>
            <w:proofErr w:type="spellStart"/>
            <w:r w:rsidRPr="00A27081">
              <w:rPr>
                <w:rFonts w:eastAsia="Calibri"/>
                <w:sz w:val="22"/>
                <w:szCs w:val="22"/>
                <w:lang w:eastAsia="en-US"/>
              </w:rPr>
              <w:t>Boehmer</w:t>
            </w:r>
            <w:proofErr w:type="spellEnd"/>
            <w:r w:rsidRPr="00A27081">
              <w:rPr>
                <w:rFonts w:eastAsia="Calibri"/>
                <w:sz w:val="22"/>
                <w:szCs w:val="22"/>
                <w:lang w:eastAsia="en-US"/>
              </w:rPr>
              <w:t xml:space="preserve">, E.,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Colonial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>and</w:t>
            </w:r>
            <w:proofErr w:type="spellEnd"/>
            <w:r w:rsidRPr="00A27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>Postcolonial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Literature</w:t>
            </w:r>
            <w:r w:rsidRPr="00D91C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1C64">
              <w:rPr>
                <w:rFonts w:eastAsia="Calibri"/>
                <w:sz w:val="22"/>
                <w:szCs w:val="22"/>
              </w:rPr>
              <w:t xml:space="preserve">(određena poglavlja); 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14.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tabs>
                <w:tab w:val="left" w:pos="468"/>
              </w:tabs>
              <w:spacing w:before="0" w:beforeAutospacing="0" w:after="0" w:afterAutospacing="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EB0">
              <w:rPr>
                <w:rFonts w:eastAsiaTheme="minorHAnsi"/>
                <w:color w:val="000000"/>
                <w:sz w:val="22"/>
                <w:szCs w:val="22"/>
                <w:lang w:val="cs-CZ" w:eastAsia="en-US"/>
              </w:rPr>
              <w:t>Novi žanrovi, pravci, trendovi i teme u suvremenom britanskom romanu u 21.st.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1C64">
              <w:rPr>
                <w:sz w:val="22"/>
                <w:szCs w:val="22"/>
              </w:rPr>
              <w:t>Luckhurst</w:t>
            </w:r>
            <w:proofErr w:type="spellEnd"/>
            <w:r w:rsidRPr="00D91C64">
              <w:rPr>
                <w:sz w:val="22"/>
                <w:szCs w:val="22"/>
              </w:rPr>
              <w:t>,, Marks (</w:t>
            </w:r>
            <w:proofErr w:type="spellStart"/>
            <w:r w:rsidRPr="00D91C64">
              <w:rPr>
                <w:sz w:val="22"/>
                <w:szCs w:val="22"/>
              </w:rPr>
              <w:t>eds</w:t>
            </w:r>
            <w:proofErr w:type="spellEnd"/>
            <w:r w:rsidRPr="00D91C64">
              <w:rPr>
                <w:sz w:val="22"/>
                <w:szCs w:val="22"/>
              </w:rPr>
              <w:t xml:space="preserve">.), </w:t>
            </w:r>
            <w:r w:rsidRPr="00D91C64">
              <w:rPr>
                <w:i/>
                <w:sz w:val="22"/>
                <w:szCs w:val="22"/>
              </w:rPr>
              <w:t xml:space="preserve">Literature </w:t>
            </w:r>
            <w:proofErr w:type="spellStart"/>
            <w:r w:rsidRPr="00D91C64">
              <w:rPr>
                <w:i/>
                <w:sz w:val="22"/>
                <w:szCs w:val="22"/>
              </w:rPr>
              <w:t>and</w:t>
            </w:r>
            <w:proofErr w:type="spellEnd"/>
            <w:r w:rsidRPr="00D91C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i/>
                <w:sz w:val="22"/>
                <w:szCs w:val="22"/>
              </w:rPr>
              <w:t>the</w:t>
            </w:r>
            <w:proofErr w:type="spellEnd"/>
            <w:r w:rsidRPr="00D91C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i/>
                <w:sz w:val="22"/>
                <w:szCs w:val="22"/>
              </w:rPr>
              <w:t>Contemporary</w:t>
            </w:r>
            <w:proofErr w:type="spellEnd"/>
            <w:r w:rsidRPr="00D91C64">
              <w:rPr>
                <w:sz w:val="22"/>
                <w:szCs w:val="22"/>
              </w:rPr>
              <w:t xml:space="preserve">… (određena poglavlja); </w:t>
            </w:r>
            <w:proofErr w:type="spellStart"/>
            <w:r w:rsidRPr="00D91C64">
              <w:rPr>
                <w:rFonts w:eastAsia="Calibri"/>
                <w:sz w:val="22"/>
                <w:szCs w:val="22"/>
              </w:rPr>
              <w:t>Padley</w:t>
            </w:r>
            <w:proofErr w:type="spellEnd"/>
            <w:r w:rsidRPr="00D91C64">
              <w:rPr>
                <w:rFonts w:eastAsia="Calibri"/>
                <w:sz w:val="22"/>
                <w:szCs w:val="22"/>
              </w:rPr>
              <w:t xml:space="preserve">, S.,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Key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1C64">
              <w:rPr>
                <w:rFonts w:eastAsia="Calibri"/>
                <w:i/>
                <w:sz w:val="22"/>
                <w:szCs w:val="22"/>
              </w:rPr>
              <w:t>Concepts</w:t>
            </w:r>
            <w:proofErr w:type="spellEnd"/>
            <w:r w:rsidRPr="00D91C64">
              <w:rPr>
                <w:rFonts w:eastAsia="Calibri"/>
                <w:i/>
                <w:sz w:val="22"/>
                <w:szCs w:val="22"/>
              </w:rPr>
              <w:t xml:space="preserve">… </w:t>
            </w:r>
            <w:r w:rsidRPr="00D91C64">
              <w:rPr>
                <w:rFonts w:eastAsia="Calibri"/>
                <w:sz w:val="22"/>
                <w:szCs w:val="22"/>
              </w:rPr>
              <w:t>(određena poglavlja)</w:t>
            </w:r>
          </w:p>
        </w:tc>
      </w:tr>
      <w:tr w:rsidR="00E15C91" w:rsidRPr="00D91C64" w:rsidTr="007C5EA6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15.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91C64">
              <w:rPr>
                <w:b/>
                <w:sz w:val="22"/>
                <w:szCs w:val="22"/>
              </w:rPr>
              <w:t>2. kolokvij</w:t>
            </w: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</w:p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4"/>
        <w:gridCol w:w="1096"/>
        <w:gridCol w:w="5082"/>
        <w:gridCol w:w="2635"/>
      </w:tblGrid>
      <w:tr w:rsidR="00E15C91" w:rsidRPr="00D91C64" w:rsidTr="007C5EA6">
        <w:trPr>
          <w:trHeight w:val="91"/>
        </w:trPr>
        <w:tc>
          <w:tcPr>
            <w:tcW w:w="9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Seminari</w:t>
            </w: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b/>
                <w:bCs/>
                <w:sz w:val="22"/>
                <w:szCs w:val="22"/>
              </w:rPr>
              <w:t>Literatura</w:t>
            </w: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 xml:space="preserve">Na seminaru koji slijedi odmah nakon predavanja analizira se i diskutira ona literatura o kojoj je bilo riječi na predavanju (i primarni i sekundarni izvori). </w:t>
            </w:r>
          </w:p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2.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3.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4.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5.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6.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7.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8.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9.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10.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11.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12.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13.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14.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5C91" w:rsidRPr="00D91C64" w:rsidTr="007C5EA6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C64">
              <w:rPr>
                <w:sz w:val="22"/>
                <w:szCs w:val="22"/>
              </w:rPr>
              <w:t>15.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91" w:rsidRPr="00D91C64" w:rsidRDefault="00E15C91" w:rsidP="007C5EA6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5C91" w:rsidRPr="00D91C64" w:rsidRDefault="00E15C91" w:rsidP="007C5EA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</w:p>
    <w:p w:rsidR="00E15C91" w:rsidRPr="00D91C64" w:rsidRDefault="00E15C91" w:rsidP="00E15C91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sz w:val="22"/>
          <w:szCs w:val="22"/>
        </w:rPr>
      </w:pPr>
      <w:r w:rsidRPr="00D91C64">
        <w:rPr>
          <w:sz w:val="22"/>
          <w:szCs w:val="22"/>
        </w:rPr>
        <w:tab/>
      </w:r>
      <w:r w:rsidRPr="00D91C64">
        <w:rPr>
          <w:sz w:val="22"/>
          <w:szCs w:val="22"/>
        </w:rPr>
        <w:tab/>
        <w:t xml:space="preserve">    Nastavnica: </w:t>
      </w:r>
    </w:p>
    <w:p w:rsidR="00E15C91" w:rsidRPr="00D91C64" w:rsidRDefault="00E15C91" w:rsidP="00E15C91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sz w:val="22"/>
          <w:szCs w:val="22"/>
        </w:rPr>
      </w:pPr>
      <w:r w:rsidRPr="00D91C64">
        <w:rPr>
          <w:sz w:val="22"/>
          <w:szCs w:val="22"/>
        </w:rPr>
        <w:t xml:space="preserve">Doc.dr.sc. Vesna </w:t>
      </w:r>
      <w:proofErr w:type="spellStart"/>
      <w:r w:rsidRPr="00D91C64">
        <w:rPr>
          <w:sz w:val="22"/>
          <w:szCs w:val="22"/>
        </w:rPr>
        <w:t>Ukić</w:t>
      </w:r>
      <w:proofErr w:type="spellEnd"/>
      <w:r w:rsidRPr="00D91C64">
        <w:rPr>
          <w:sz w:val="22"/>
          <w:szCs w:val="22"/>
        </w:rPr>
        <w:t xml:space="preserve"> Košta</w:t>
      </w:r>
    </w:p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sz w:val="22"/>
          <w:szCs w:val="22"/>
        </w:rPr>
      </w:pPr>
    </w:p>
    <w:p w:rsidR="00E15C91" w:rsidRPr="00D91C64" w:rsidRDefault="00E15C91" w:rsidP="00E15C91">
      <w:pPr>
        <w:autoSpaceDE w:val="0"/>
        <w:autoSpaceDN w:val="0"/>
        <w:adjustRightInd w:val="0"/>
        <w:spacing w:before="0" w:beforeAutospacing="0" w:after="0" w:afterAutospacing="0" w:line="276" w:lineRule="auto"/>
        <w:rPr>
          <w:sz w:val="22"/>
          <w:szCs w:val="22"/>
        </w:rPr>
      </w:pPr>
    </w:p>
    <w:p w:rsidR="00E15C91" w:rsidRPr="00D91C64" w:rsidRDefault="00E15C91" w:rsidP="00E15C91">
      <w:pPr>
        <w:spacing w:before="0" w:beforeAutospacing="0" w:after="0" w:afterAutospacing="0"/>
        <w:rPr>
          <w:sz w:val="22"/>
          <w:szCs w:val="22"/>
        </w:rPr>
      </w:pPr>
    </w:p>
    <w:p w:rsidR="00E15C91" w:rsidRPr="00D91C64" w:rsidRDefault="00E15C91" w:rsidP="00E15C91">
      <w:pPr>
        <w:spacing w:before="0" w:beforeAutospacing="0" w:after="0" w:afterAutospacing="0"/>
        <w:rPr>
          <w:sz w:val="22"/>
          <w:szCs w:val="22"/>
        </w:rPr>
      </w:pPr>
    </w:p>
    <w:p w:rsidR="00E15C91" w:rsidRPr="00D91C64" w:rsidRDefault="00E15C91" w:rsidP="00E15C91">
      <w:pPr>
        <w:spacing w:before="0" w:beforeAutospacing="0" w:after="0" w:afterAutospacing="0"/>
        <w:rPr>
          <w:sz w:val="22"/>
          <w:szCs w:val="22"/>
        </w:rPr>
      </w:pPr>
    </w:p>
    <w:p w:rsidR="00E15C91" w:rsidRPr="00D91C64" w:rsidRDefault="00E15C91" w:rsidP="00E15C91">
      <w:pPr>
        <w:rPr>
          <w:sz w:val="22"/>
          <w:szCs w:val="22"/>
        </w:rPr>
      </w:pPr>
    </w:p>
    <w:p w:rsidR="00CC4CA1" w:rsidRDefault="00E15C91">
      <w:bookmarkStart w:id="0" w:name="_GoBack"/>
      <w:bookmarkEnd w:id="0"/>
    </w:p>
    <w:sectPr w:rsidR="00CC4CA1" w:rsidSect="00A50A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BE6A0E"/>
    <w:lvl w:ilvl="0">
      <w:numFmt w:val="decimal"/>
      <w:lvlText w:val="*"/>
      <w:lvlJc w:val="left"/>
    </w:lvl>
  </w:abstractNum>
  <w:abstractNum w:abstractNumId="1" w15:restartNumberingAfterBreak="0">
    <w:nsid w:val="5E484AE7"/>
    <w:multiLevelType w:val="hybridMultilevel"/>
    <w:tmpl w:val="0A0CD660"/>
    <w:lvl w:ilvl="0" w:tplc="897C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1"/>
    <w:rsid w:val="00053DA4"/>
    <w:rsid w:val="0024756F"/>
    <w:rsid w:val="00793BF3"/>
    <w:rsid w:val="00C656AE"/>
    <w:rsid w:val="00E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38B6-F347-4D33-9D7A-0DA6917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C91"/>
    <w:rPr>
      <w:color w:val="0563C1"/>
      <w:u w:val="single"/>
    </w:rPr>
  </w:style>
  <w:style w:type="paragraph" w:styleId="ListParagraph">
    <w:name w:val="List Paragraph"/>
    <w:basedOn w:val="Normal"/>
    <w:qFormat/>
    <w:rsid w:val="00E15C91"/>
    <w:pPr>
      <w:spacing w:before="0" w:beforeAutospacing="0" w:after="0" w:afterAutospacing="0"/>
      <w:ind w:left="720"/>
      <w:contextualSpacing/>
    </w:pPr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ki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2018-02-19T11:20:00Z</dcterms:created>
  <dcterms:modified xsi:type="dcterms:W3CDTF">2018-02-19T11:20:00Z</dcterms:modified>
</cp:coreProperties>
</file>