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-15" w:type="dxa"/>
        <w:tblW w:w="8968" w:type="dxa"/>
      </w:tblPr>
      <w:tblGrid>
        <w:gridCol w:w="2415"/>
        <w:gridCol w:w="1480"/>
        <w:gridCol w:w="536"/>
        <w:gridCol w:w="1154"/>
        <w:gridCol w:w="1157"/>
        <w:gridCol w:w="534"/>
        <w:gridCol w:w="1692"/>
      </w:tblGrid>
      <w:tr>
        <w:trPr>
          <w:trHeight w:val="90" w:hRule="atLeast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/>
            <w:bookmarkStart w:id="0" w:name="_GoBack"/>
            <w:bookmarkEnd w:id="0"/>
            <w:r/>
            <w:r>
              <w:rPr>
                <w:rFonts w:ascii="Arial Narrow" w:hAnsi="Arial Narrow" w:cs="Arial"/>
                <w:b/>
              </w:rPr>
              <w:t>Naziv studija</w:t>
            </w:r>
            <w:r>
              <w:rPr>
                <w:rFonts w:ascii="Arial Narrow" w:hAnsi="Arial Narrow" w:cs="Arial"/>
                <w:b/>
              </w:rPr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sveučilišni studij ruskoga jezika i književnosti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Jezične vježbe 6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48650 (RUP30607)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6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Dr. sc. Eugenija Ćuto, viša lektorica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180"/>
              <w:spacing w:after="0" w:line="240" w:lineRule="auto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e-mail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hyperlink r:id="rId8" w:history="1">
              <w:r>
                <w:rPr>
                  <w:rStyle w:val="char37"/>
                  <w:rFonts w:ascii="Arial Narrow" w:hAnsi="Arial Narrow" w:cs="Arial"/>
                </w:rPr>
                <w:t>eucuto@mail.ru</w:t>
              </w:r>
            </w:hyperlink>
            <w:r>
              <w:rPr>
                <w:rFonts w:ascii="Arial Narrow" w:hAnsi="Arial Narrow" w:cs="Arial"/>
              </w:rPr>
              <w:t xml:space="preserve">  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180"/>
              <w:spacing w:after="0" w:line="240" w:lineRule="auto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vrijeme konzultacija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četvrtak, 16-18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//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180"/>
              <w:spacing w:after="0" w:line="240" w:lineRule="auto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e-mail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//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180"/>
              <w:spacing w:after="0" w:line="240" w:lineRule="auto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vrijeme konzultacija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//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SK-240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vježbe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0+0+60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Kolokviji, diktati, pismeni prijevodi, usmeni ispit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6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26. veljače 2018.</w:t>
            </w:r>
            <w:r/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8. lipnja 2018.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Merge w:val="restart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Kolokviji, diktati</w:t>
            </w:r>
          </w:p>
        </w:tc>
        <w:tc>
          <w:tcPr>
            <w:tcW w:w="1480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3383" w:type="dxa"/>
            <w:gridSpan w:val="3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Pismeni prijevodi</w:t>
            </w:r>
          </w:p>
        </w:tc>
      </w:tr>
      <w:tr>
        <w:trPr>
          <w:trHeight w:val="0" w:hRule="auto"/>
        </w:trPr>
        <w:tc>
          <w:tcPr>
            <w:tcW w:w="2415" w:type="dxa"/>
            <w:vMerge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/>
        </w:tc>
        <w:tc>
          <w:tcPr>
            <w:tcW w:w="148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travanj 2018.</w:t>
            </w:r>
          </w:p>
        </w:tc>
        <w:tc>
          <w:tcPr>
            <w:tcW w:w="1690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lipanj 2018.</w:t>
            </w:r>
            <w:r/>
          </w:p>
        </w:tc>
        <w:tc>
          <w:tcPr>
            <w:tcW w:w="1691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</w:t>
            </w:r>
          </w:p>
        </w:tc>
        <w:tc>
          <w:tcPr>
            <w:tcW w:w="1692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svibanj 2018.</w:t>
            </w:r>
          </w:p>
        </w:tc>
      </w:tr>
      <w:tr>
        <w:trPr>
          <w:trHeight w:val="0" w:hRule="auto"/>
        </w:trPr>
        <w:tc>
          <w:tcPr>
            <w:tcW w:w="2415" w:type="dxa"/>
            <w:vMerge w:val="restart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Usmeni ispit</w:t>
            </w:r>
          </w:p>
        </w:tc>
        <w:tc>
          <w:tcPr>
            <w:tcW w:w="1480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1" w:type="dxa"/>
            <w:gridSpan w:val="2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2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 termin</w:t>
            </w:r>
          </w:p>
        </w:tc>
      </w:tr>
      <w:tr>
        <w:trPr>
          <w:trHeight w:val="0" w:hRule="auto"/>
        </w:trPr>
        <w:tc>
          <w:tcPr>
            <w:tcW w:w="2415" w:type="dxa"/>
            <w:vMerge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/>
        </w:tc>
        <w:tc>
          <w:tcPr>
            <w:tcW w:w="148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lipanj 2018.</w:t>
            </w:r>
            <w:r/>
          </w:p>
        </w:tc>
        <w:tc>
          <w:tcPr>
            <w:tcW w:w="1690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srpanj 2018.</w:t>
            </w:r>
            <w:r/>
          </w:p>
        </w:tc>
        <w:tc>
          <w:tcPr>
            <w:tcW w:w="1691" w:type="dxa"/>
            <w:gridSpan w:val="2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rujan 2018.</w:t>
            </w:r>
            <w:r/>
          </w:p>
        </w:tc>
        <w:tc>
          <w:tcPr>
            <w:tcW w:w="1692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rujan 2018.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Nakon položenog ispita iz ovog kolegija studenti će biti sposobni: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koristiti u svojem govoru ruske ustaljene izraze,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ispravno formirati sintagme s glagolom u zapovjednom načinu,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sudjelovati u dijalogu vješto reagirajući na replike sugovornika,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verbalno izraziti razočarenje, čvrsto neslaganje ili iznenađenje,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raspravljati o problemima suvremenog ruskog društva u pogledu ekonomije,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izreći svoje mišljenje o socijalnom raslojavanju danas,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komentirati ulogu gradskih spomenika u stvaranju oblika suvremenoga grada,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preupitati sugovornika u slučaju krivog shvaćanja neke tvrdnje,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opisati značajne ruske spomenike,</w:t>
            </w:r>
          </w:p>
          <w:p>
            <w:pPr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prisjetiti se spomenika u Starom svijetu.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Preduvjeti za upis i polaganje ispita</w:t>
            </w:r>
            <w:r/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Za upis i slušanje kolegija potrebno je položiti «Jezične vježbe 4». Za polaganje ispita potrebno je položiti «Jezične vježbe 5».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1. Cjelina «Российская семья в новой экономической ситуации»: </w:t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грамматика – императив и инфинитив; стилистика и фразеология; речевая практика – потребительская корзина, бедность, средний класс, социальное неравенство, проблемы современной России.</w:t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2. Cjelina «Городская скульптура в обществе»:</w:t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словообразование, стилистика и фразеология, грамматика – эллипсис, неопределенно-личные предложения, глаголы движения, речевая практика – речевые формулы, памятники в России, скульптура в облике современного города, памятники в Древнем мире.</w:t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Лев Скороходов, Ольга 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Россию: учебное пособие по РКИ для продвинутого этапа. В двух частях. Часть первая. </w:t>
            </w:r>
            <w:r>
              <w:rPr>
                <w:rFonts w:ascii="Arial Narrow" w:hAnsi="Arial Narrow" w:eastAsia="Arial Narrow" w:cs="Arial Narrow"/>
              </w:rPr>
              <w:t xml:space="preserve">Санкт-Петербург: Златоуст. </w:t>
            </w:r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1. Глазунова, О.И. 2005. </w:t>
            </w:r>
            <w:r>
              <w:rPr>
                <w:rFonts w:ascii="Arial Narrow" w:hAnsi="Arial Narrow" w:cs="Calibri"/>
                <w:i/>
              </w:rPr>
              <w:t xml:space="preserve">Грамматика русского языка в упражнениях и комментариях. Морфология. </w:t>
            </w:r>
            <w:r>
              <w:rPr>
                <w:rFonts w:ascii="Arial Narrow" w:hAnsi="Arial Narrow" w:cs="Calibri"/>
              </w:rPr>
              <w:t>Санкт-Петербург: Златоуст.</w:t>
            </w:r>
            <w:r/>
          </w:p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2. Кривоносов, А.Д, Т.Ю. Редькина. 2002. </w:t>
            </w:r>
            <w:r>
              <w:rPr>
                <w:rFonts w:ascii="Arial Narrow" w:hAnsi="Arial Narrow" w:cs="Calibri"/>
                <w:i/>
              </w:rPr>
              <w:t xml:space="preserve">Знаю и люблю русские глаголы. </w:t>
            </w:r>
            <w:r>
              <w:rPr>
                <w:rFonts w:ascii="Arial Narrow" w:hAnsi="Arial Narrow" w:cs="Calibri"/>
              </w:rPr>
              <w:t>Санкт-Петербург: Златоуст.</w:t>
            </w:r>
            <w:r/>
          </w:p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3. Куприянова, Т.Ф. 2002. </w:t>
            </w:r>
            <w:r>
              <w:rPr>
                <w:rFonts w:ascii="Arial Narrow" w:hAnsi="Arial Narrow" w:cs="Calibri"/>
                <w:i/>
              </w:rPr>
              <w:t xml:space="preserve">Знакомьтесь: деепричастие. </w:t>
            </w:r>
            <w:r>
              <w:rPr>
                <w:rFonts w:ascii="Arial Narrow" w:hAnsi="Arial Narrow" w:cs="Calibri"/>
              </w:rPr>
              <w:t>Санкт-Петербург: «Златоуст».</w:t>
            </w:r>
            <w:r/>
          </w:p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4. Куралева, И.Р., В.Д. Горбенко, М.Ю. Доценко. 2013. </w:t>
            </w:r>
            <w:r>
              <w:rPr>
                <w:rFonts w:ascii="Arial Narrow" w:hAnsi="Arial Narrow" w:cs="Calibri"/>
                <w:i/>
              </w:rPr>
              <w:t xml:space="preserve">Русский рок и русская грамматика. </w:t>
            </w:r>
            <w:r>
              <w:rPr>
                <w:rFonts w:ascii="Arial Narrow" w:hAnsi="Arial Narrow" w:cs="Calibri"/>
              </w:rPr>
              <w:t>Санкт-Петербург: Златоуст.</w:t>
            </w:r>
            <w:r/>
          </w:p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</w:rPr>
              <w:t xml:space="preserve">5. Литневская, Е.И. 2006. </w:t>
            </w:r>
            <w:r>
              <w:rPr>
                <w:rFonts w:ascii="Arial Narrow" w:hAnsi="Arial Narrow" w:cs="Arial"/>
                <w:i/>
              </w:rPr>
              <w:t xml:space="preserve">Русский язык. Краткий теоретический курс для школьников. </w:t>
            </w:r>
            <w:r>
              <w:rPr>
                <w:rFonts w:ascii="Arial Narrow" w:hAnsi="Arial Narrow" w:cs="Arial"/>
              </w:rPr>
              <w:t>Москва: ЧеРо, Издательство Московского университета.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char1"/>
                  <w:rFonts w:ascii="Arial Narrow" w:hAnsi="Arial Narrow" w:cs="Arial"/>
                </w:rPr>
                <w:t>www.gramota.ru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0" w:history="1">
              <w:r>
                <w:rPr>
                  <w:rStyle w:val="char1"/>
                  <w:rFonts w:ascii="Arial Narrow" w:hAnsi="Arial Narrow" w:cs="Arial"/>
                </w:rPr>
                <w:t>www.dic.academic.ru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1" w:history="1">
              <w:r>
                <w:rPr>
                  <w:rStyle w:val="char1"/>
                  <w:rFonts w:ascii="Arial Narrow" w:hAnsi="Arial Narrow" w:cs="Arial"/>
                </w:rPr>
                <w:t>www.gramma.ru</w:t>
              </w:r>
            </w:hyperlink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(75%), rješavanje domaće zadače, aktivno sudjelovanje na vježbama, pisanje prijevoda, diktata i kolokvija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Način bodovanja pismenog prijevoda i kolokvija</w:t>
            </w:r>
            <w:r/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  <w:tab/>
              <w:t xml:space="preserve">   Ocjena: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  <w:tab/>
              <w:t xml:space="preserve">                 1 (nedovoljan)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70−79</w:t>
              <w:tab/>
              <w:t xml:space="preserve">                 2 (dovoljan)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80−89</w:t>
              <w:tab/>
              <w:t xml:space="preserve">                 3 (dobar)</w:t>
            </w:r>
            <w:r/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90−94</w:t>
              <w:tab/>
              <w:t xml:space="preserve">                 4 (vrlo dobar)</w:t>
            </w:r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95−100               5 (izvrstan)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Pozitivno ocijenjeni prijevod/kolokvij može iznositi od 70 do 100 bodova.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  <w:tab/>
              <w:t xml:space="preserve">   Ocjena:                            Grešaka: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  <w:tab/>
              <w:t xml:space="preserve">                 1 (nedovoljan)                  9 i više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70−79</w:t>
              <w:tab/>
              <w:t xml:space="preserve">                 2 (dovoljan)                      7-8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80−89</w:t>
              <w:tab/>
              <w:t xml:space="preserve">                 3 (dobar)                          5-6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90−94</w:t>
              <w:tab/>
              <w:t xml:space="preserve">                 4 (vrlo dobar)                   3-4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95−100               5 (izvrstan)                       1-2</w:t>
            </w:r>
            <w:r/>
          </w:p>
          <w:p>
            <w:pPr>
              <w:spacing w:after="0" w:line="240" w:lineRule="auto"/>
            </w:pPr>
            <w:bookmarkStart w:id="1" w:name="__DdeLink__2047_329185910"/>
            <w:bookmarkEnd w:id="1"/>
            <w:r/>
            <w:r>
              <w:rPr>
                <w:rFonts w:ascii="Arial Narrow" w:hAnsi="Arial Narrow" w:cs="Arial"/>
              </w:rPr>
              <w:t>Pozitivno ocijenjeni diktat može iznositi od 70 do 100 bodova.</w:t>
            </w: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pStyle w:val="para7"/>
              <w:spacing/>
              <w:jc w:val="both"/>
            </w:pPr>
            <w:r/>
          </w:p>
          <w:p>
            <w:pPr>
              <w:pStyle w:val="para7"/>
              <w:spacing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Student tijekom semestra piše dva prijevoda, dva diktata i dva kolokvija. Ti oblici kontinuiranog praćenja studentskog rada zamijenjuju pismeni ispit. Na ispitnom roku student polaže samo usmeni ispit. Student može pristupiti usmenom ispitu ako položi </w:t>
            </w:r>
            <w:r>
              <w:rPr>
                <w:rFonts w:ascii="Arial Narrow" w:hAnsi="Arial Narrow" w:cs="Arial"/>
                <w:szCs w:val="22"/>
                <w:u w:color="auto" w:val="single"/>
              </w:rPr>
            </w:r>
            <w:r>
              <w:rPr>
                <w:rFonts w:ascii="Arial Narrow" w:hAnsi="Arial Narrow" w:cs="Arial"/>
                <w:b/>
                <w:bCs/>
                <w:szCs w:val="22"/>
              </w:rPr>
              <w:t>sve</w:t>
            </w:r>
            <w:r>
              <w:rPr>
                <w:rFonts w:ascii="Arial Narrow" w:hAnsi="Arial Narrow" w:cs="Arial"/>
                <w:szCs w:val="22"/>
              </w:rPr>
              <w:t xml:space="preserve"> prijevode, diktate i kolokvije na kojima ostvari po minimalno 140 bodova. Student ima pravo pisati svaki prijevod, diktat kolokvij dva puta u razmaku od tjedan dana.</w:t>
            </w:r>
          </w:p>
          <w:p>
            <w:pPr>
              <w:pStyle w:val="para7"/>
              <w:spacing/>
              <w:jc w:val="both"/>
            </w:pPr>
            <w:r/>
          </w:p>
        </w:tc>
      </w:tr>
      <w:tr>
        <w:trPr>
          <w:trHeight w:val="0" w:hRule="auto"/>
        </w:trPr>
        <w:tc>
          <w:tcPr>
            <w:tcW w:w="241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3" w:type="dxa"/>
            <w:gridSpan w:val="6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</w:rPr>
              <w:t>Studenti koji ostvare izvanredan uspjeh na međunarodnoj olimpijadi iz ruskog jezika mogu biti oslobođeni ispita i automatski dobiti izvrsnu ocjenu (5).</w:t>
            </w:r>
            <w:r/>
          </w:p>
        </w:tc>
      </w:tr>
    </w:tbl>
    <w:p>
      <w:pPr>
        <w:pStyle w:val="para6"/>
        <w:ind w:left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name w:val="Таблица2"/>
        <w:tabOrder w:val="0"/>
        <w:jc w:val="left"/>
        <w:tblInd w:w="-15" w:type="dxa"/>
        <w:tblW w:w="9039" w:type="dxa"/>
      </w:tblPr>
      <w:tblGrid>
        <w:gridCol w:w="654"/>
        <w:gridCol w:w="5550"/>
        <w:gridCol w:w="2835"/>
      </w:tblGrid>
      <w:tr>
        <w:trPr>
          <w:trHeight w:val="91" w:hRule="atLeast"/>
        </w:trPr>
        <w:tc>
          <w:tcPr>
            <w:tcW w:w="654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Red. br.</w:t>
            </w:r>
          </w:p>
        </w:tc>
        <w:tc>
          <w:tcPr>
            <w:tcW w:w="5550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Naslov</w:t>
            </w:r>
          </w:p>
        </w:tc>
        <w:tc>
          <w:tcPr>
            <w:tcW w:w="2835" w:type="dxa"/>
            <w:vAlign w:val="center"/>
            <w:shd w:val="solid" w:color="FFFFE5" tmshd="1677721856, 0, 15073279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Literatura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1.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Uvodni sat: plan rada, sadržaj, nastavni materijal, zadaci. Studentske obveze. Lekcija 1: </w:t>
            </w:r>
            <w:r>
              <w:rPr>
                <w:rFonts w:ascii="Arial Narrow" w:hAnsi="Arial Narrow"/>
                <w:i/>
                <w:iCs/>
              </w:rPr>
              <w:t>Кому на Руси жить хорошо?</w:t>
            </w:r>
            <w:r>
              <w:rPr>
                <w:rFonts w:ascii="Arial Narrow" w:hAnsi="Arial Narrow"/>
                <w:i/>
                <w:iCs/>
              </w:rPr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2.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Rad na leksiku. Dijalozi. Ustaljeni izrazi. Vježbe. 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3.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Gramatika. Stilistika. Tekst «Федеральный закон РФ о потребительской корзине». Vježbe.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Pismeni prijevod 1. Diskusija o društvenom raslojavanju danas.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Tekst o državnom proračunu. Rad na leksiku. Vježbe.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6.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Diskusija. Sastav. Tekst o ruskim tajkunima. 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Stilistika. Gramatika. Vježbe. Priprema za diktat i kolokvij.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Diktat 1, kolokvij 1. Lekcija 2: </w:t>
            </w:r>
            <w:r>
              <w:rPr>
                <w:rFonts w:ascii="Arial Narrow" w:hAnsi="Arial Narrow"/>
                <w:i/>
                <w:iCs/>
              </w:rPr>
              <w:t>Жизнь коротка, искусство долговечно.</w:t>
            </w:r>
            <w:r>
              <w:rPr>
                <w:rFonts w:ascii="Arial Narrow" w:hAnsi="Arial Narrow"/>
                <w:i/>
                <w:iCs/>
              </w:rPr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</w:pPr>
            <w:r>
              <w:rPr>
                <w:rFonts w:ascii="Arial Narrow" w:hAnsi="Arial Narrow"/>
              </w:rPr>
              <w:t xml:space="preserve">Ustaljeni izrazi. Glagoli kretanja. Gramatika: rečenice s neodređenim subjektom. </w:t>
            </w:r>
            <w:r/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</w:pPr>
            <w:r>
              <w:rPr>
                <w:rFonts w:ascii="Arial Narrow" w:hAnsi="Arial Narrow"/>
              </w:rPr>
              <w:t>Dijalog. Rad na leksiku. Stilistika. Govorne vježbe.</w:t>
            </w:r>
            <w:r/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Glagoli semantičke skupine «doživljavanje pozitivnih emocija». Vježbe. Tekst o ruskim kantautorima. Pjesme.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Pismeni prijevod 2. Ustaljeni izrazi. Gramatika. Leksičke vježbe.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13.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Jezične i govorne vježbe. Tekst o spomeniku Petra Prvoga. </w:t>
            </w:r>
            <w:r>
              <w:rPr>
                <w:rFonts w:ascii="Arial Narrow" w:hAnsi="Arial Narrow"/>
              </w:rPr>
              <w:t>Rad na tekstu.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Tekst o gradu Sevastopolu. Intervju s ruskim kiparom M. Šemjakinom. Diskusija o ulozi spomenika danas i kroz povijest.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5550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spacing w:after="0" w:line="240" w:lineRule="auto"/>
              <w:tabs>
                <w:tab w:val="left" w:pos="468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Diktat 2, kolokvij 2. Završetak nastave, rezultati. Priprema za ispit.</w:t>
            </w:r>
          </w:p>
        </w:tc>
        <w:tc>
          <w:tcPr>
            <w:tcW w:w="2835" w:type="dxa"/>
            <w:vAlign w:val="center"/>
            <w:tcMar>
              <w:top w:w="0" w:type="dxa"/>
              <w:left w:w="93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7294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Л. Скороходов, О. Хорохордина.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Окно в Россию 1. </w:t>
            </w:r>
            <w:r>
              <w:rPr>
                <w:rFonts w:ascii="Arial Narrow" w:hAnsi="Arial Narrow" w:eastAsia="Arial Narrow" w:cs="Arial Narrow"/>
              </w:rPr>
              <w:t>СПб.: Златоуст.</w:t>
            </w:r>
          </w:p>
        </w:tc>
      </w:tr>
    </w:tbl>
    <w:p>
      <w:pPr>
        <w:pStyle w:val="para6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6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6"/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13. veljače 2018.</w:t>
        <w:tab/>
        <w:tab/>
        <w:tab/>
      </w:r>
      <w:r>
        <w:rPr>
          <w:rFonts w:ascii="Arial Narrow" w:hAnsi="Arial Narrow" w:eastAsia="Arial Narrow" w:cs="Arial Narrow"/>
          <w:sz w:val="24"/>
          <w:szCs w:val="24"/>
        </w:rPr>
        <w:tab/>
        <w:t>Nastavnik: Dr. sc. Eugenija Ćuto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18" w:right="1418" w:bottom="1418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Arial Narrow">
    <w:charset w:val="ee"/>
    <w:family w:val="swiss"/>
    <w:pitch w:val="default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Symbol">
    <w:charset w:val="02"/>
    <w:family w:val="roman"/>
    <w:pitch w:val="default"/>
  </w:font>
  <w:font w:name="Cambria">
    <w:charset w:val="ee"/>
    <w:family w:val="roman"/>
    <w:pitch w:val="default"/>
  </w:font>
  <w:font w:name="Calibri">
    <w:charset w:val="ee"/>
    <w:family w:val="swiss"/>
    <w:pitch w:val="default"/>
  </w:font>
  <w:font w:name="PT Serif"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charset w:val="00"/>
    <w:family w:val="roman"/>
    <w:pitch w:val="default"/>
  </w:font>
  <w:font w:name="Tahoma">
    <w:charset w:val="ee"/>
    <w:family w:val="swiss"/>
    <w:pitch w:val="default"/>
  </w:font>
  <w:font w:name="1Isadora M Bold"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Pr>
          <w:rFonts w:ascii="Arial Narrow" w:hAnsi="Arial Narrow" w:cs="Aria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  <w:wrapTrailSpaces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90329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117"/>
    <w:tmLastPosCaret>
      <w:tmLastPosPgfIdx w:val="0"/>
      <w:tmLastPosIdx w:val="65"/>
    </w:tmLastPosCaret>
    <w:tmLastPosAnchor>
      <w:tmLastPosPgfIdx w:val="0"/>
      <w:tmLastPosIdx w:val="0"/>
    </w:tmLastPosAnchor>
    <w:tmLastPosTblRect w:left="0" w:top="0" w:right="0" w:bottom="0"/>
  </w:tmLastPos>
  <w:tmAppRevision w:date="1518507294" w:val="924" w:fileVer="341" w:fileVer64="64" w:fileVerOS="3"/>
  <w:tmTrialVersion Id="1518507294" ProgID="-559038741" val="11336677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PT Serif" w:hAnsi="PT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PT Serif" w:hAnsi="PT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PT Serif" w:hAnsi="PT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PT Serif" w:hAnsi="PT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paragraph" w:styleId="para10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ascii="Arial Narrow" w:hAnsi="Arial Narrow" w:eastAsia="Calibri" w:cs="Arial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cs="Courier New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Courier New"/>
    </w:rPr>
  </w:style>
  <w:style w:type="character" w:styleId="char8" w:customStyle="1">
    <w:name w:val="ListLabel 7"/>
    <w:rPr>
      <w:rFonts w:cs="Courier New"/>
    </w:rPr>
  </w:style>
  <w:style w:type="character" w:styleId="char9" w:customStyle="1">
    <w:name w:val="ListLabel 8"/>
    <w:rPr>
      <w:rFonts w:ascii="Arial Narrow" w:hAnsi="Arial Narrow" w:cs="Arial"/>
    </w:rPr>
  </w:style>
  <w:style w:type="character" w:styleId="char10" w:customStyle="1">
    <w:name w:val="ListLabel 9"/>
    <w:rPr>
      <w:rFonts w:cs="Courier New"/>
    </w:rPr>
  </w:style>
  <w:style w:type="character" w:styleId="char11" w:customStyle="1">
    <w:name w:val="ListLabel 10"/>
    <w:rPr>
      <w:rFonts w:cs="Wingdings"/>
    </w:rPr>
  </w:style>
  <w:style w:type="character" w:styleId="char12" w:customStyle="1">
    <w:name w:val="ListLabel 11"/>
    <w:rPr>
      <w:rFonts w:cs="Symbol"/>
    </w:rPr>
  </w:style>
  <w:style w:type="character" w:styleId="char13" w:customStyle="1">
    <w:name w:val="ListLabel 12"/>
    <w:rPr>
      <w:rFonts w:cs="Courier New"/>
    </w:rPr>
  </w:style>
  <w:style w:type="character" w:styleId="char14" w:customStyle="1">
    <w:name w:val="ListLabel 13"/>
    <w:rPr>
      <w:rFonts w:cs="Wingdings"/>
    </w:rPr>
  </w:style>
  <w:style w:type="character" w:styleId="char15" w:customStyle="1">
    <w:name w:val="ListLabel 14"/>
    <w:rPr>
      <w:rFonts w:cs="Symbol"/>
    </w:rPr>
  </w:style>
  <w:style w:type="character" w:styleId="char16" w:customStyle="1">
    <w:name w:val="ListLabel 15"/>
    <w:rPr>
      <w:rFonts w:cs="Courier New"/>
    </w:rPr>
  </w:style>
  <w:style w:type="character" w:styleId="char17" w:customStyle="1">
    <w:name w:val="ListLabel 16"/>
    <w:rPr>
      <w:rFonts w:cs="Wingdings"/>
    </w:rPr>
  </w:style>
  <w:style w:type="character" w:styleId="char18" w:customStyle="1">
    <w:name w:val="ListLabel 17"/>
    <w:rPr>
      <w:rFonts w:ascii="Arial Narrow" w:hAnsi="Arial Narrow" w:cs="Arial"/>
    </w:rPr>
  </w:style>
  <w:style w:type="character" w:styleId="char19" w:customStyle="1">
    <w:name w:val="ListLabel 18"/>
    <w:rPr>
      <w:rFonts w:cs="Courier New"/>
    </w:rPr>
  </w:style>
  <w:style w:type="character" w:styleId="char20" w:customStyle="1">
    <w:name w:val="ListLabel 19"/>
    <w:rPr>
      <w:rFonts w:cs="Wingdings"/>
    </w:rPr>
  </w:style>
  <w:style w:type="character" w:styleId="char21" w:customStyle="1">
    <w:name w:val="ListLabel 20"/>
    <w:rPr>
      <w:rFonts w:cs="Symbol"/>
    </w:rPr>
  </w:style>
  <w:style w:type="character" w:styleId="char22" w:customStyle="1">
    <w:name w:val="ListLabel 21"/>
    <w:rPr>
      <w:rFonts w:cs="Courier New"/>
    </w:rPr>
  </w:style>
  <w:style w:type="character" w:styleId="char23" w:customStyle="1">
    <w:name w:val="ListLabel 22"/>
    <w:rPr>
      <w:rFonts w:cs="Wingdings"/>
    </w:rPr>
  </w:style>
  <w:style w:type="character" w:styleId="char24" w:customStyle="1">
    <w:name w:val="ListLabel 23"/>
    <w:rPr>
      <w:rFonts w:cs="Symbol"/>
    </w:rPr>
  </w:style>
  <w:style w:type="character" w:styleId="char25" w:customStyle="1">
    <w:name w:val="ListLabel 24"/>
    <w:rPr>
      <w:rFonts w:cs="Courier New"/>
    </w:rPr>
  </w:style>
  <w:style w:type="character" w:styleId="char26" w:customStyle="1">
    <w:name w:val="ListLabel 25"/>
    <w:rPr>
      <w:rFonts w:cs="Wingdings"/>
    </w:rPr>
  </w:style>
  <w:style w:type="character" w:styleId="char27" w:customStyle="1">
    <w:name w:val="ListLabel 26"/>
    <w:rPr>
      <w:rFonts w:ascii="Arial Narrow" w:hAnsi="Arial Narrow" w:cs="Arial"/>
    </w:rPr>
  </w:style>
  <w:style w:type="character" w:styleId="char28" w:customStyle="1">
    <w:name w:val="ListLabel 27"/>
    <w:rPr>
      <w:rFonts w:cs="Courier New"/>
    </w:rPr>
  </w:style>
  <w:style w:type="character" w:styleId="char29" w:customStyle="1">
    <w:name w:val="ListLabel 28"/>
    <w:rPr>
      <w:rFonts w:cs="Wingdings"/>
    </w:rPr>
  </w:style>
  <w:style w:type="character" w:styleId="char30" w:customStyle="1">
    <w:name w:val="ListLabel 29"/>
    <w:rPr>
      <w:rFonts w:cs="Symbol"/>
    </w:rPr>
  </w:style>
  <w:style w:type="character" w:styleId="char31" w:customStyle="1">
    <w:name w:val="ListLabel 30"/>
    <w:rPr>
      <w:rFonts w:cs="Courier New"/>
    </w:rPr>
  </w:style>
  <w:style w:type="character" w:styleId="char32" w:customStyle="1">
    <w:name w:val="ListLabel 31"/>
    <w:rPr>
      <w:rFonts w:cs="Wingdings"/>
    </w:rPr>
  </w:style>
  <w:style w:type="character" w:styleId="char33" w:customStyle="1">
    <w:name w:val="ListLabel 32"/>
    <w:rPr>
      <w:rFonts w:cs="Symbol"/>
    </w:rPr>
  </w:style>
  <w:style w:type="character" w:styleId="char34" w:customStyle="1">
    <w:name w:val="ListLabel 33"/>
    <w:rPr>
      <w:rFonts w:cs="Courier New"/>
    </w:rPr>
  </w:style>
  <w:style w:type="character" w:styleId="char35" w:customStyle="1">
    <w:name w:val="ListLabel 34"/>
    <w:rPr>
      <w:rFonts w:cs="Wingdings"/>
    </w:rPr>
  </w:style>
  <w:style w:type="character" w:styleId="char36" w:customStyle="1">
    <w:name w:val="Balloon Text Char"/>
    <w:basedOn w:val="char0"/>
    <w:rPr>
      <w:rFonts w:ascii="Tahoma" w:hAnsi="Tahoma" w:cs="Tahoma"/>
      <w:color w:val="00000a"/>
      <w:sz w:val="16"/>
      <w:szCs w:val="16"/>
    </w:rPr>
  </w:style>
  <w:style w:type="character" w:styleId="char37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PT Serif" w:hAnsi="PT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PT Serif" w:hAnsi="PT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PT Serif" w:hAnsi="PT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PT Serif" w:hAnsi="PT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paragraph" w:styleId="para10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ascii="Arial Narrow" w:hAnsi="Arial Narrow" w:eastAsia="Calibri" w:cs="Arial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cs="Courier New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Courier New"/>
    </w:rPr>
  </w:style>
  <w:style w:type="character" w:styleId="char8" w:customStyle="1">
    <w:name w:val="ListLabel 7"/>
    <w:rPr>
      <w:rFonts w:cs="Courier New"/>
    </w:rPr>
  </w:style>
  <w:style w:type="character" w:styleId="char9" w:customStyle="1">
    <w:name w:val="ListLabel 8"/>
    <w:rPr>
      <w:rFonts w:ascii="Arial Narrow" w:hAnsi="Arial Narrow" w:cs="Arial"/>
    </w:rPr>
  </w:style>
  <w:style w:type="character" w:styleId="char10" w:customStyle="1">
    <w:name w:val="ListLabel 9"/>
    <w:rPr>
      <w:rFonts w:cs="Courier New"/>
    </w:rPr>
  </w:style>
  <w:style w:type="character" w:styleId="char11" w:customStyle="1">
    <w:name w:val="ListLabel 10"/>
    <w:rPr>
      <w:rFonts w:cs="Wingdings"/>
    </w:rPr>
  </w:style>
  <w:style w:type="character" w:styleId="char12" w:customStyle="1">
    <w:name w:val="ListLabel 11"/>
    <w:rPr>
      <w:rFonts w:cs="Symbol"/>
    </w:rPr>
  </w:style>
  <w:style w:type="character" w:styleId="char13" w:customStyle="1">
    <w:name w:val="ListLabel 12"/>
    <w:rPr>
      <w:rFonts w:cs="Courier New"/>
    </w:rPr>
  </w:style>
  <w:style w:type="character" w:styleId="char14" w:customStyle="1">
    <w:name w:val="ListLabel 13"/>
    <w:rPr>
      <w:rFonts w:cs="Wingdings"/>
    </w:rPr>
  </w:style>
  <w:style w:type="character" w:styleId="char15" w:customStyle="1">
    <w:name w:val="ListLabel 14"/>
    <w:rPr>
      <w:rFonts w:cs="Symbol"/>
    </w:rPr>
  </w:style>
  <w:style w:type="character" w:styleId="char16" w:customStyle="1">
    <w:name w:val="ListLabel 15"/>
    <w:rPr>
      <w:rFonts w:cs="Courier New"/>
    </w:rPr>
  </w:style>
  <w:style w:type="character" w:styleId="char17" w:customStyle="1">
    <w:name w:val="ListLabel 16"/>
    <w:rPr>
      <w:rFonts w:cs="Wingdings"/>
    </w:rPr>
  </w:style>
  <w:style w:type="character" w:styleId="char18" w:customStyle="1">
    <w:name w:val="ListLabel 17"/>
    <w:rPr>
      <w:rFonts w:ascii="Arial Narrow" w:hAnsi="Arial Narrow" w:cs="Arial"/>
    </w:rPr>
  </w:style>
  <w:style w:type="character" w:styleId="char19" w:customStyle="1">
    <w:name w:val="ListLabel 18"/>
    <w:rPr>
      <w:rFonts w:cs="Courier New"/>
    </w:rPr>
  </w:style>
  <w:style w:type="character" w:styleId="char20" w:customStyle="1">
    <w:name w:val="ListLabel 19"/>
    <w:rPr>
      <w:rFonts w:cs="Wingdings"/>
    </w:rPr>
  </w:style>
  <w:style w:type="character" w:styleId="char21" w:customStyle="1">
    <w:name w:val="ListLabel 20"/>
    <w:rPr>
      <w:rFonts w:cs="Symbol"/>
    </w:rPr>
  </w:style>
  <w:style w:type="character" w:styleId="char22" w:customStyle="1">
    <w:name w:val="ListLabel 21"/>
    <w:rPr>
      <w:rFonts w:cs="Courier New"/>
    </w:rPr>
  </w:style>
  <w:style w:type="character" w:styleId="char23" w:customStyle="1">
    <w:name w:val="ListLabel 22"/>
    <w:rPr>
      <w:rFonts w:cs="Wingdings"/>
    </w:rPr>
  </w:style>
  <w:style w:type="character" w:styleId="char24" w:customStyle="1">
    <w:name w:val="ListLabel 23"/>
    <w:rPr>
      <w:rFonts w:cs="Symbol"/>
    </w:rPr>
  </w:style>
  <w:style w:type="character" w:styleId="char25" w:customStyle="1">
    <w:name w:val="ListLabel 24"/>
    <w:rPr>
      <w:rFonts w:cs="Courier New"/>
    </w:rPr>
  </w:style>
  <w:style w:type="character" w:styleId="char26" w:customStyle="1">
    <w:name w:val="ListLabel 25"/>
    <w:rPr>
      <w:rFonts w:cs="Wingdings"/>
    </w:rPr>
  </w:style>
  <w:style w:type="character" w:styleId="char27" w:customStyle="1">
    <w:name w:val="ListLabel 26"/>
    <w:rPr>
      <w:rFonts w:ascii="Arial Narrow" w:hAnsi="Arial Narrow" w:cs="Arial"/>
    </w:rPr>
  </w:style>
  <w:style w:type="character" w:styleId="char28" w:customStyle="1">
    <w:name w:val="ListLabel 27"/>
    <w:rPr>
      <w:rFonts w:cs="Courier New"/>
    </w:rPr>
  </w:style>
  <w:style w:type="character" w:styleId="char29" w:customStyle="1">
    <w:name w:val="ListLabel 28"/>
    <w:rPr>
      <w:rFonts w:cs="Wingdings"/>
    </w:rPr>
  </w:style>
  <w:style w:type="character" w:styleId="char30" w:customStyle="1">
    <w:name w:val="ListLabel 29"/>
    <w:rPr>
      <w:rFonts w:cs="Symbol"/>
    </w:rPr>
  </w:style>
  <w:style w:type="character" w:styleId="char31" w:customStyle="1">
    <w:name w:val="ListLabel 30"/>
    <w:rPr>
      <w:rFonts w:cs="Courier New"/>
    </w:rPr>
  </w:style>
  <w:style w:type="character" w:styleId="char32" w:customStyle="1">
    <w:name w:val="ListLabel 31"/>
    <w:rPr>
      <w:rFonts w:cs="Wingdings"/>
    </w:rPr>
  </w:style>
  <w:style w:type="character" w:styleId="char33" w:customStyle="1">
    <w:name w:val="ListLabel 32"/>
    <w:rPr>
      <w:rFonts w:cs="Symbol"/>
    </w:rPr>
  </w:style>
  <w:style w:type="character" w:styleId="char34" w:customStyle="1">
    <w:name w:val="ListLabel 33"/>
    <w:rPr>
      <w:rFonts w:cs="Courier New"/>
    </w:rPr>
  </w:style>
  <w:style w:type="character" w:styleId="char35" w:customStyle="1">
    <w:name w:val="ListLabel 34"/>
    <w:rPr>
      <w:rFonts w:cs="Wingdings"/>
    </w:rPr>
  </w:style>
  <w:style w:type="character" w:styleId="char36" w:customStyle="1">
    <w:name w:val="Balloon Text Char"/>
    <w:basedOn w:val="char0"/>
    <w:rPr>
      <w:rFonts w:ascii="Tahoma" w:hAnsi="Tahoma" w:cs="Tahoma"/>
      <w:color w:val="00000a"/>
      <w:sz w:val="16"/>
      <w:szCs w:val="16"/>
    </w:rPr>
  </w:style>
  <w:style w:type="character" w:styleId="char37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eucuto@mail.ru" TargetMode="External"/><Relationship Id="rId9" Type="http://schemas.openxmlformats.org/officeDocument/2006/relationships/hyperlink" Target="http://www.gramota.ru/" TargetMode="External"/><Relationship Id="rId10" Type="http://schemas.openxmlformats.org/officeDocument/2006/relationships/hyperlink" Target="http://www.dic.academic.ru/" TargetMode="External"/><Relationship Id="rId11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EĆ</dc:creator>
  <cp:keywords/>
  <dc:description/>
  <cp:lastModifiedBy>Евгения Чуто</cp:lastModifiedBy>
  <cp:revision>13</cp:revision>
  <cp:lastPrinted>2017-03-03T15:15:00Z</cp:lastPrinted>
  <dcterms:created xsi:type="dcterms:W3CDTF">2016-02-13T08:29:00Z</dcterms:created>
  <dcterms:modified xsi:type="dcterms:W3CDTF">2018-02-13T07:34:54Z</dcterms:modified>
</cp:coreProperties>
</file>