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BD" w:rsidRDefault="007E0EBD" w:rsidP="007E0E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Obrazac 1.3.2. Izvedbeni plan nastave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9"/>
        <w:gridCol w:w="390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Japanski jezik II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397DD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7E0EB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BD" w:rsidRDefault="0097664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7E0EBD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0EBD" w:rsidRDefault="0097664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7E0EBD" w:rsidTr="007E0EBD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7E0EBD" w:rsidTr="007E0EBD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7E0EBD" w:rsidTr="007E0EBD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7E0EBD" w:rsidTr="007E0EBD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7E0EBD" w:rsidTr="007E0EBD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Jurja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Bijankinija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2, učionica 213, utorak</w:t>
            </w:r>
          </w:p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16:00-17:30</w:t>
            </w:r>
          </w:p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/on line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i japanski</w:t>
            </w:r>
          </w:p>
        </w:tc>
      </w:tr>
      <w:tr w:rsidR="007E0EBD" w:rsidTr="007E0EBD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Iva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Lakić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Parać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</w:rPr>
              <w:t>ilparac</w:t>
            </w:r>
            <w:r>
              <w:rPr>
                <w:rFonts w:ascii="Times New Roman" w:hAnsi="Times New Roman" w:cs="Times New Roman"/>
                <w:sz w:val="18"/>
                <w:lang w:eastAsia="ja-JP"/>
              </w:rPr>
              <w:t>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 mailom.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EBD" w:rsidTr="007E0EBD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7E0EBD" w:rsidTr="007E0E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E0EBD" w:rsidTr="007E0EBD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 w:rsidP="00782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Studenti će </w:t>
            </w:r>
            <w:r w:rsidR="00782715">
              <w:rPr>
                <w:rFonts w:ascii="Times New Roman" w:hAnsi="Times New Roman" w:cs="Times New Roman"/>
                <w:sz w:val="18"/>
              </w:rPr>
              <w:t>naučiti</w:t>
            </w:r>
            <w:r>
              <w:rPr>
                <w:rFonts w:ascii="Times New Roman" w:hAnsi="Times New Roman" w:cs="Times New Roman"/>
                <w:sz w:val="18"/>
              </w:rPr>
              <w:t xml:space="preserve"> primijeniti neke od osnovnih jezičnih struktura u usmenoj i pismenoj komunikaciji na razini A1.</w:t>
            </w:r>
          </w:p>
        </w:tc>
      </w:tr>
      <w:tr w:rsidR="007E0EBD" w:rsidTr="007E0EBD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Nakon položenog </w:t>
            </w:r>
            <w:r w:rsidR="00782715">
              <w:rPr>
                <w:rFonts w:ascii="Times New Roman" w:hAnsi="Times New Roman" w:cs="Times New Roman"/>
                <w:sz w:val="18"/>
              </w:rPr>
              <w:t>kolegija iz Japanskog jezika 2</w:t>
            </w:r>
            <w:r>
              <w:rPr>
                <w:rFonts w:ascii="Times New Roman" w:hAnsi="Times New Roman" w:cs="Times New Roman"/>
                <w:sz w:val="18"/>
              </w:rPr>
              <w:t xml:space="preserve"> studenti će moći: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•koristiti pravilne jezične i gramatičke strukture japanskog jezika pri pisanju i govoru na razini A1;  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•koristiti vokabular primjeren godini učenja o općim temama pri pisanju i govoru;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•napisati jednostavan tekst na japanskom jeziku; 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•razumjeti slušne zapise o svakodnevnim temama ili usmenu komunikaciju;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•sudjelovati u usmenoj komunikaciji na početnom nivou.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E0EBD" w:rsidTr="007E0EBD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E0EBD" w:rsidTr="007E0EBD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E0EBD" w:rsidTr="007E0EBD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1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82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Japanski jezik 2</w:t>
            </w:r>
            <w:r w:rsidR="007E0EBD">
              <w:rPr>
                <w:rFonts w:ascii="Times New Roman" w:eastAsia="MS Gothic" w:hAnsi="Times New Roman" w:cs="Times New Roman"/>
                <w:sz w:val="18"/>
              </w:rPr>
              <w:t xml:space="preserve"> namijenjen je usvajanju osnovnih jezičnih i gramatičkih struktura japanskog jezika, osnovnog vokabulara te vještine čitanja u svrhu razumijevanja općenitog značenja teksta na početnom stupnju. Kroz primjenu usvojenih jezičnih struktura i vokabulara, početno pisanje i komunikaciju temeljenu na svakodnevnim situacijama, studenti će se upoznati i s različitim aspektima japanske kulture. 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Upisi</w:t>
            </w:r>
          </w:p>
          <w:p w:rsidR="007E0EBD" w:rsidRDefault="007E0EBD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296BF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92185">
              <w:rPr>
                <w:rFonts w:ascii="Times New Roman" w:eastAsia="MS Gothic" w:hAnsi="Times New Roman" w:cs="Times New Roman"/>
                <w:sz w:val="18"/>
              </w:rPr>
              <w:t xml:space="preserve">Osnovna struktura japanske rečenice : </w:t>
            </w:r>
            <w:r w:rsidR="00296BF6">
              <w:rPr>
                <w:rFonts w:ascii="Times New Roman" w:eastAsia="MS Gothic" w:hAnsi="Times New Roman" w:cs="Times New Roman"/>
                <w:sz w:val="18"/>
              </w:rPr>
              <w:t xml:space="preserve">x </w:t>
            </w:r>
            <w:r w:rsidR="00296BF6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は</w:t>
            </w:r>
            <w:r w:rsidR="00296BF6">
              <w:rPr>
                <w:rFonts w:ascii="Times New Roman" w:eastAsia="MS Gothic" w:hAnsi="Times New Roman" w:cs="Times New Roman"/>
                <w:sz w:val="18"/>
              </w:rPr>
              <w:t>y</w:t>
            </w:r>
            <w:r w:rsidR="00296BF6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で</w:t>
            </w:r>
            <w:r w:rsidR="00B92185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す</w:t>
            </w:r>
            <w:r w:rsidR="00B92185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; g</w:t>
            </w:r>
            <w:r w:rsidR="00B92185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l. „moći“: </w:t>
            </w:r>
            <w:r w:rsidR="00296BF6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～ができま</w:t>
            </w:r>
            <w:r w:rsidR="00B92185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す</w:t>
            </w:r>
            <w:r w:rsidR="00B92185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; čestica </w:t>
            </w:r>
            <w:r w:rsidR="00296BF6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も</w:t>
            </w:r>
            <w:r w:rsidR="00B92185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.</w:t>
            </w:r>
          </w:p>
          <w:p w:rsidR="00296BF6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 w:hint="eastAsia"/>
                <w:sz w:val="18"/>
              </w:rPr>
              <w:t>Veznik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と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;</w:t>
            </w: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“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Živim u</w:t>
            </w: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“</w:t>
            </w:r>
            <w:r>
              <w:rPr>
                <w:rFonts w:hint="eastAsia"/>
              </w:rPr>
              <w:t xml:space="preserve"> </w:t>
            </w:r>
            <w:r w:rsidRPr="00B92185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 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にすんでいます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; dob </w:t>
            </w:r>
            <w:r w:rsidRPr="00B92185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さい。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„Volim“/ „sviđa mi se“ 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がすき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/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はすきじゃない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; OBJEKT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を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GLAGOL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ます</w:t>
            </w:r>
            <w:r w:rsidR="009B3640" w:rsidRPr="009B3640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.</w:t>
            </w:r>
            <w:r w:rsidR="009B3640" w:rsidRPr="009B3640">
              <w:rPr>
                <w:rFonts w:ascii="Times New Roman" w:eastAsia="MS Gothic" w:hAnsi="Times New Roman" w:cs="Times New Roman"/>
                <w:sz w:val="18"/>
                <w:lang w:eastAsia="ja-JP"/>
              </w:rPr>
              <w:t>(</w:t>
            </w:r>
            <w:r w:rsidR="009B3640" w:rsidRPr="009B3640">
              <w:rPr>
                <w:rFonts w:ascii="Times New Roman" w:eastAsia="MS Gothic" w:hAnsi="Times New Roman" w:cs="Times New Roman" w:hint="eastAsia"/>
                <w:b/>
                <w:sz w:val="18"/>
                <w:lang w:eastAsia="ja-JP"/>
              </w:rPr>
              <w:t>1. ZADAĆA</w:t>
            </w:r>
            <w:r w:rsidR="009B3640" w:rsidRPr="009B3640"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  <w:t>)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5. 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Pridjevi: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すきな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/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おいしい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; mjesto radnje</w:t>
            </w:r>
            <w:r w:rsidRPr="00B92185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で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Žive i nežive stvari 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いる</w:t>
            </w: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/</w:t>
            </w:r>
            <w:r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ある</w:t>
            </w:r>
          </w:p>
          <w:p w:rsidR="00B92185" w:rsidRPr="009B3640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7. Pozicioniranje stvari</w:t>
            </w:r>
            <w:r w:rsidRPr="009B3640"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  <w:t>.</w:t>
            </w:r>
            <w:r w:rsidR="009B3640" w:rsidRPr="009B3640"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  <w:t xml:space="preserve"> (2. ZADAĆA)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8.</w:t>
            </w:r>
            <w:r w:rsidR="00AB677F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Izražavanje vremena.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9.</w:t>
            </w:r>
            <w:r w:rsidR="00AB677F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Izražavanje trajanja.</w:t>
            </w:r>
          </w:p>
          <w:p w:rsidR="00B92185" w:rsidRPr="009B3640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10.</w:t>
            </w:r>
            <w:r w:rsidR="00AB677F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Glagoli u </w:t>
            </w:r>
            <w:r w:rsid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ます</w:t>
            </w:r>
            <w:r w:rsidR="00AB677F">
              <w:rPr>
                <w:rFonts w:ascii="Times New Roman" w:eastAsia="MS Gothic" w:hAnsi="Times New Roman" w:cs="Times New Roman"/>
                <w:sz w:val="18"/>
                <w:lang w:eastAsia="ja-JP"/>
              </w:rPr>
              <w:t>formi</w:t>
            </w:r>
            <w:r w:rsidR="00AB677F" w:rsidRPr="009B3640"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  <w:t>.</w:t>
            </w:r>
            <w:r w:rsidR="009B3640" w:rsidRPr="009B3640"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  <w:t xml:space="preserve"> (3. ZADAĆA)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11.</w:t>
            </w:r>
            <w:r w:rsidR="00AB677F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Gl.</w:t>
            </w:r>
            <w:r w:rsid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にいきます</w:t>
            </w:r>
            <w:r w:rsidR="00AB677F">
              <w:rPr>
                <w:rFonts w:ascii="Times New Roman" w:eastAsia="MS Gothic" w:hAnsi="Times New Roman" w:cs="Times New Roman"/>
                <w:sz w:val="18"/>
                <w:lang w:eastAsia="ja-JP"/>
              </w:rPr>
              <w:t>; poziv</w:t>
            </w:r>
            <w:r w:rsidR="00AB677F" w:rsidRP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～</w:t>
            </w:r>
            <w:r w:rsid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ませんか</w:t>
            </w:r>
            <w:r w:rsid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/</w:t>
            </w:r>
            <w:r w:rsid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ましょう</w:t>
            </w:r>
            <w:r w:rsid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; 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12.</w:t>
            </w:r>
            <w:r w:rsidR="00AB677F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Razne uporabe čestice</w:t>
            </w:r>
            <w:r w:rsid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で</w:t>
            </w:r>
            <w:r w:rsidR="00AB677F">
              <w:rPr>
                <w:rFonts w:ascii="Times New Roman" w:eastAsia="MS Gothic" w:hAnsi="Times New Roman" w:cs="Times New Roman"/>
                <w:sz w:val="18"/>
                <w:lang w:eastAsia="ja-JP"/>
              </w:rPr>
              <w:t>; kretanje; razlog</w:t>
            </w:r>
            <w:r w:rsid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ですから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13.</w:t>
            </w:r>
            <w:r w:rsidR="00AB677F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pitanje „koliko košta“</w:t>
            </w:r>
            <w:r w:rsidR="00AB677F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いくら</w:t>
            </w:r>
            <w:r w:rsidR="00427CDA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 xml:space="preserve">; </w:t>
            </w:r>
            <w:r w:rsidR="00427CDA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izražavanje </w:t>
            </w:r>
            <w:r w:rsidR="00427CDA">
              <w:rPr>
                <w:rFonts w:ascii="Times New Roman" w:eastAsia="MS Gothic" w:hAnsi="Times New Roman" w:cs="Times New Roman" w:hint="eastAsia"/>
                <w:sz w:val="18"/>
                <w:lang w:eastAsia="ja-JP"/>
              </w:rPr>
              <w:t>molbe</w:t>
            </w:r>
            <w:r w:rsidR="009B3640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</w:t>
            </w:r>
            <w:r w:rsidR="009B3640" w:rsidRPr="009B3640">
              <w:rPr>
                <w:rFonts w:ascii="Times New Roman" w:eastAsia="MS Gothic" w:hAnsi="Times New Roman" w:cs="Times New Roman"/>
                <w:b/>
                <w:sz w:val="18"/>
                <w:lang w:eastAsia="ja-JP"/>
              </w:rPr>
              <w:t>(4. ZADAĆA)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14.</w:t>
            </w:r>
            <w:r w:rsidR="00427CDA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Prošlo vrijeme glagola.</w:t>
            </w:r>
          </w:p>
          <w:p w:rsidR="00B92185" w:rsidRDefault="00B9218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18"/>
                <w:lang w:eastAsia="ja-JP"/>
              </w:rPr>
              <w:t>15.</w:t>
            </w:r>
            <w:r w:rsidR="00427CDA">
              <w:rPr>
                <w:rFonts w:ascii="Times New Roman" w:eastAsia="MS Gothic" w:hAnsi="Times New Roman" w:cs="Times New Roman"/>
                <w:sz w:val="18"/>
                <w:lang w:eastAsia="ja-JP"/>
              </w:rPr>
              <w:t xml:space="preserve"> Prošlo vrijeme pridjeva.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15" w:rsidRPr="00782715" w:rsidRDefault="0078271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国際交流基金編者『まるごと・日本のことばと文化』入門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A1</w:t>
            </w:r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・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りかい、三修社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 xml:space="preserve">　</w:t>
            </w:r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Japanska fondacija (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ur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 xml:space="preserve">.), 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Marugoto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 xml:space="preserve">, udžbenik japanskog jezika i kulture, A1, 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Rikai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 xml:space="preserve">, Tokyo, 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Sanshūsha</w:t>
            </w:r>
            <w:proofErr w:type="spellEnd"/>
          </w:p>
          <w:p w:rsidR="007E0EBD" w:rsidRDefault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国際交流基金編者『まるごと・日本のことばと文化』入門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A1</w:t>
            </w:r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・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かつどう、三修社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 xml:space="preserve"> Japanska fondacija (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ur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 xml:space="preserve">.), 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Marugoto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 xml:space="preserve">, udžbenik japanskog jezika i kulture, A1, 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Katsudō</w:t>
            </w:r>
            <w:proofErr w:type="spellEnd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 xml:space="preserve"> , Tokyo, </w:t>
            </w:r>
            <w:proofErr w:type="spellStart"/>
            <w:r w:rsidRPr="00782715">
              <w:rPr>
                <w:rFonts w:ascii="Times New Roman" w:eastAsia="MS Gothic" w:hAnsi="Times New Roman" w:cs="Times New Roman" w:hint="eastAsia"/>
                <w:sz w:val="18"/>
              </w:rPr>
              <w:t>Sanshūsha</w:t>
            </w:r>
            <w:proofErr w:type="spellEnd"/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Marković Ljiljana,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Tričković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Divna. 2014.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Udžbenik japanskog jezika „Korak po korak“.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Osnovna knjiga</w:t>
            </w:r>
            <w:r>
              <w:rPr>
                <w:rFonts w:ascii="Times New Roman" w:eastAsia="MS Gothic" w:hAnsi="Times New Roman" w:cs="Times New Roman"/>
                <w:sz w:val="18"/>
              </w:rPr>
              <w:t>. Beograd, Filološki fakultet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Marković Ljiljana,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Tričković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Divna. 2014.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Udžbenik japanskog jezika „Korak po korak“. Rječnik i objašnjenja.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Beograd, Filološki fakultet</w:t>
            </w:r>
          </w:p>
          <w:p w:rsidR="00782715" w:rsidRDefault="0078271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Banno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Eri. 1999.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Genki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1.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Integrated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Course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Elementary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Japanese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Tokyo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Japan Times</w:t>
            </w:r>
          </w:p>
          <w:p w:rsidR="007E0EBD" w:rsidRDefault="00782715" w:rsidP="0078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Banno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Eri. 1999.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Genki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1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Workbook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Integrated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Course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Elementary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Japanese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Tokyo,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Japan Times.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http://www.jpf.go.jp/e/project/japanese/education/</w:t>
            </w:r>
          </w:p>
        </w:tc>
      </w:tr>
      <w:tr w:rsidR="007E0EBD" w:rsidTr="007E0EBD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E0EBD" w:rsidTr="007E0E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E0EBD" w:rsidRDefault="007E0E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E0EBD" w:rsidRDefault="007E0E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E0EBD" w:rsidTr="007E0E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E0EBD" w:rsidRDefault="007E0E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E0EBD" w:rsidRDefault="007E0E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0EB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7E0EBD" w:rsidTr="007E0EBD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0-50 % nedovoljan (1)</w:t>
            </w:r>
          </w:p>
        </w:tc>
      </w:tr>
      <w:tr w:rsidR="007E0EBD" w:rsidTr="007E0E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51-63 % dovoljan (2)</w:t>
            </w:r>
          </w:p>
        </w:tc>
      </w:tr>
      <w:tr w:rsidR="007E0EBD" w:rsidTr="007E0E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64-76 % dobar (3)</w:t>
            </w:r>
          </w:p>
        </w:tc>
      </w:tr>
      <w:tr w:rsidR="007E0EBD" w:rsidTr="007E0E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77-88 % vrlo dobar (4)</w:t>
            </w:r>
          </w:p>
        </w:tc>
      </w:tr>
      <w:tr w:rsidR="007E0EBD" w:rsidTr="007E0E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7E0E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89-100 % izvrstan (5)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E0EBD" w:rsidRDefault="009766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EBD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7E0EB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E0EBD" w:rsidTr="007E0EB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EBD" w:rsidRDefault="007E0EB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E0EBD" w:rsidRDefault="007E0E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E0EBD" w:rsidRDefault="007E0EBD" w:rsidP="007E0EBD">
      <w:pPr>
        <w:rPr>
          <w:rFonts w:ascii="Georgia" w:hAnsi="Georgia" w:cs="Times New Roman"/>
          <w:sz w:val="24"/>
        </w:rPr>
      </w:pPr>
    </w:p>
    <w:p w:rsidR="00A018F2" w:rsidRDefault="00A018F2"/>
    <w:sectPr w:rsidR="00A01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45" w:rsidRDefault="00976645" w:rsidP="007E0EBD">
      <w:pPr>
        <w:spacing w:before="0" w:after="0"/>
      </w:pPr>
      <w:r>
        <w:separator/>
      </w:r>
    </w:p>
  </w:endnote>
  <w:endnote w:type="continuationSeparator" w:id="0">
    <w:p w:rsidR="00976645" w:rsidRDefault="00976645" w:rsidP="007E0E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45" w:rsidRDefault="00976645" w:rsidP="007E0EBD">
      <w:pPr>
        <w:spacing w:before="0" w:after="0"/>
      </w:pPr>
      <w:r>
        <w:separator/>
      </w:r>
    </w:p>
  </w:footnote>
  <w:footnote w:type="continuationSeparator" w:id="0">
    <w:p w:rsidR="00976645" w:rsidRDefault="00976645" w:rsidP="007E0EBD">
      <w:pPr>
        <w:spacing w:before="0" w:after="0"/>
      </w:pPr>
      <w:r>
        <w:continuationSeparator/>
      </w:r>
    </w:p>
  </w:footnote>
  <w:footnote w:id="1">
    <w:p w:rsidR="007E0EBD" w:rsidRDefault="007E0EBD" w:rsidP="007E0EBD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79"/>
    <w:rsid w:val="00296BF6"/>
    <w:rsid w:val="00397DDE"/>
    <w:rsid w:val="00417579"/>
    <w:rsid w:val="00427CDA"/>
    <w:rsid w:val="00594303"/>
    <w:rsid w:val="005C1037"/>
    <w:rsid w:val="00782715"/>
    <w:rsid w:val="007E0EBD"/>
    <w:rsid w:val="00976645"/>
    <w:rsid w:val="009B3640"/>
    <w:rsid w:val="00A018F2"/>
    <w:rsid w:val="00AB677F"/>
    <w:rsid w:val="00B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CF77"/>
  <w15:chartTrackingRefBased/>
  <w15:docId w15:val="{147AC06D-B6CC-4598-B700-D64EA640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BD"/>
    <w:pPr>
      <w:spacing w:before="120" w:after="120" w:line="240" w:lineRule="auto"/>
    </w:pPr>
    <w:rPr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EB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B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BD"/>
    <w:rPr>
      <w:sz w:val="20"/>
      <w:szCs w:val="20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0EBD"/>
    <w:rPr>
      <w:vertAlign w:val="superscript"/>
    </w:rPr>
  </w:style>
  <w:style w:type="table" w:styleId="TableGrid">
    <w:name w:val="Table Grid"/>
    <w:basedOn w:val="TableNormal"/>
    <w:uiPriority w:val="59"/>
    <w:rsid w:val="007E0EBD"/>
    <w:pPr>
      <w:spacing w:after="0" w:line="240" w:lineRule="auto"/>
    </w:pPr>
    <w:rPr>
      <w:lang w:val="hr-H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5</cp:revision>
  <dcterms:created xsi:type="dcterms:W3CDTF">2020-04-06T07:25:00Z</dcterms:created>
  <dcterms:modified xsi:type="dcterms:W3CDTF">2021-02-24T08:38:00Z</dcterms:modified>
</cp:coreProperties>
</file>