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CE60" w14:textId="77777777" w:rsidR="00155FFB" w:rsidRPr="001452B2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1452B2">
        <w:rPr>
          <w:rFonts w:ascii="Merriweather" w:hAnsi="Merriweather" w:cs="Times New Roman"/>
          <w:b/>
          <w:sz w:val="24"/>
        </w:rPr>
        <w:t>Izvedbeni plan nastave (</w:t>
      </w:r>
      <w:r w:rsidR="0010332B" w:rsidRPr="001452B2">
        <w:rPr>
          <w:rFonts w:ascii="Merriweather" w:hAnsi="Merriweather" w:cs="Times New Roman"/>
          <w:b/>
          <w:i/>
          <w:sz w:val="24"/>
        </w:rPr>
        <w:t>syllabus</w:t>
      </w:r>
      <w:r w:rsidR="00F82834" w:rsidRPr="001452B2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1452B2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452B2" w14:paraId="5EE2160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67FFD5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ECE68BD" w14:textId="1B8DE9F9" w:rsidR="004B553E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951D1B" w14:textId="77777777" w:rsidR="004B553E" w:rsidRPr="001452B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68A9E28" w14:textId="1A7D0D87" w:rsidR="004B553E" w:rsidRPr="001452B2" w:rsidRDefault="000B37D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1452B2">
              <w:rPr>
                <w:rFonts w:ascii="Merriweather" w:hAnsi="Merriweather" w:cs="Times New Roman"/>
                <w:sz w:val="20"/>
              </w:rPr>
              <w:t>2022</w:t>
            </w:r>
            <w:r w:rsidR="00FF1020" w:rsidRPr="001452B2">
              <w:rPr>
                <w:rFonts w:ascii="Merriweather" w:hAnsi="Merriweather" w:cs="Times New Roman"/>
                <w:sz w:val="20"/>
              </w:rPr>
              <w:t>./202</w:t>
            </w:r>
            <w:r w:rsidRPr="001452B2">
              <w:rPr>
                <w:rFonts w:ascii="Merriweather" w:hAnsi="Merriweather" w:cs="Times New Roman"/>
                <w:sz w:val="20"/>
              </w:rPr>
              <w:t>3</w:t>
            </w:r>
            <w:r w:rsidR="00FF1020" w:rsidRPr="001452B2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1452B2" w14:paraId="3746E6C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519C3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875BC6F" w14:textId="77777777" w:rsidR="004B553E" w:rsidRDefault="008E243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Starokršćanska arheologija</w:t>
            </w:r>
          </w:p>
          <w:p w14:paraId="016A1F4B" w14:textId="5C83D456" w:rsidR="00B16407" w:rsidRPr="001452B2" w:rsidRDefault="00B1640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3F1E5E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37CD6BE" w14:textId="77777777" w:rsidR="004B553E" w:rsidRPr="001452B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1452B2" w14:paraId="745C25F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0F48A4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3627CD8" w14:textId="56D0FFA6" w:rsidR="004B553E" w:rsidRPr="001452B2" w:rsidRDefault="0012175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/>
                <w:b/>
              </w:rPr>
              <w:t>Pred</w:t>
            </w:r>
            <w:r w:rsidR="00AA428C" w:rsidRPr="001452B2">
              <w:rPr>
                <w:rFonts w:ascii="Merriweather" w:hAnsi="Merriweather"/>
                <w:b/>
                <w:spacing w:val="-3"/>
              </w:rPr>
              <w:t>d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i</w:t>
            </w:r>
            <w:r w:rsidR="00AA428C" w:rsidRPr="001452B2">
              <w:rPr>
                <w:rFonts w:ascii="Merriweather" w:hAnsi="Merriweather"/>
                <w:b/>
              </w:rPr>
              <w:t>p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>l</w:t>
            </w:r>
            <w:r w:rsidR="00AA428C" w:rsidRPr="001452B2">
              <w:rPr>
                <w:rFonts w:ascii="Merriweather" w:hAnsi="Merriweather"/>
                <w:b/>
              </w:rPr>
              <w:t>o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>m</w:t>
            </w:r>
            <w:r w:rsidR="00AA428C" w:rsidRPr="001452B2">
              <w:rPr>
                <w:rFonts w:ascii="Merriweather" w:hAnsi="Merriweather"/>
                <w:b/>
                <w:spacing w:val="-2"/>
              </w:rPr>
              <w:t>s</w:t>
            </w:r>
            <w:r w:rsidR="00AA428C" w:rsidRPr="001452B2">
              <w:rPr>
                <w:rFonts w:ascii="Merriweather" w:hAnsi="Merriweather"/>
                <w:b/>
              </w:rPr>
              <w:t>ki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 xml:space="preserve"> </w:t>
            </w:r>
            <w:r w:rsidR="00AA428C" w:rsidRPr="001452B2">
              <w:rPr>
                <w:rFonts w:ascii="Merriweather" w:hAnsi="Merriweather"/>
                <w:b/>
              </w:rPr>
              <w:t>s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t</w:t>
            </w:r>
            <w:r w:rsidR="00AA428C" w:rsidRPr="001452B2">
              <w:rPr>
                <w:rFonts w:ascii="Merriweather" w:hAnsi="Merriweather"/>
                <w:b/>
              </w:rPr>
              <w:t>u</w:t>
            </w:r>
            <w:r w:rsidR="00AA428C" w:rsidRPr="001452B2">
              <w:rPr>
                <w:rFonts w:ascii="Merriweather" w:hAnsi="Merriweather"/>
                <w:b/>
                <w:spacing w:val="-3"/>
              </w:rPr>
              <w:t>d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i</w:t>
            </w:r>
            <w:r w:rsidR="00AA428C" w:rsidRPr="001452B2">
              <w:rPr>
                <w:rFonts w:ascii="Merriweather" w:hAnsi="Merriweather"/>
                <w:b/>
              </w:rPr>
              <w:t>j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 xml:space="preserve"> </w:t>
            </w:r>
            <w:r w:rsidR="00AA428C" w:rsidRPr="001452B2">
              <w:rPr>
                <w:rFonts w:ascii="Merriweather" w:hAnsi="Merriweather"/>
                <w:b/>
              </w:rPr>
              <w:t>arh</w:t>
            </w:r>
            <w:r w:rsidR="00AA428C" w:rsidRPr="001452B2">
              <w:rPr>
                <w:rFonts w:ascii="Merriweather" w:hAnsi="Merriweather"/>
                <w:b/>
                <w:spacing w:val="-2"/>
              </w:rPr>
              <w:t>e</w:t>
            </w:r>
            <w:r w:rsidR="00AA428C" w:rsidRPr="001452B2">
              <w:rPr>
                <w:rFonts w:ascii="Merriweather" w:hAnsi="Merriweather"/>
                <w:b/>
              </w:rPr>
              <w:t>o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l</w:t>
            </w:r>
            <w:r w:rsidR="00AA428C" w:rsidRPr="001452B2">
              <w:rPr>
                <w:rFonts w:ascii="Merriweather" w:hAnsi="Merriweather"/>
                <w:b/>
              </w:rPr>
              <w:t>o</w:t>
            </w:r>
            <w:r w:rsidR="00AA428C" w:rsidRPr="001452B2">
              <w:rPr>
                <w:rFonts w:ascii="Merriweather" w:hAnsi="Merriweather"/>
                <w:b/>
                <w:spacing w:val="-2"/>
              </w:rPr>
              <w:t>g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i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>j</w:t>
            </w:r>
            <w:r w:rsidR="00AA428C" w:rsidRPr="001452B2">
              <w:rPr>
                <w:rFonts w:ascii="Merriweather" w:hAnsi="Merriweather"/>
                <w:b/>
              </w:rPr>
              <w:t>e</w:t>
            </w:r>
          </w:p>
        </w:tc>
      </w:tr>
      <w:tr w:rsidR="004B553E" w:rsidRPr="001452B2" w14:paraId="40309C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930C0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D3FFC42" w14:textId="6C730223" w:rsidR="004B553E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BD46E4" w14:textId="33523B1E" w:rsidR="004B553E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A558DA4" w14:textId="77777777" w:rsidR="004B553E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F27AD4F" w14:textId="77777777" w:rsidR="004B553E" w:rsidRPr="001452B2" w:rsidRDefault="00227EE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1452B2" w14:paraId="3BFA4B1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F643D4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994E658" w14:textId="2D14D1C7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559F01" w14:textId="2A9E5BCA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C4" w:rsidRPr="001452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FC1A576" w14:textId="05A33D81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2F546E8" w14:textId="77777777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6ADFE1B" w14:textId="77777777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1452B2" w14:paraId="5FBD79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209AAA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9DA1A49" w14:textId="3E843CD6" w:rsidR="004B553E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1" w:rsidRPr="001452B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F2F5B02" w14:textId="77777777" w:rsidR="004B553E" w:rsidRPr="001452B2" w:rsidRDefault="00227EE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6C31232" w14:textId="77777777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49E0A64" w14:textId="77777777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E016C7B" w14:textId="7DB4AD94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7AB6F79" w14:textId="77777777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6E01EB1" w14:textId="57480058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F064CCE" w14:textId="77777777" w:rsidR="004B553E" w:rsidRPr="001452B2" w:rsidRDefault="00227E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1452B2" w14:paraId="23AB44C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E1037D" w14:textId="77777777" w:rsidR="00393964" w:rsidRPr="001452B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D4F7C39" w14:textId="77777777" w:rsidR="00393964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D5D57D3" w14:textId="07910AC0" w:rsidR="00393964" w:rsidRPr="001452B2" w:rsidRDefault="00227EE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0FEFE34" w14:textId="77777777" w:rsidR="00393964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16AE32A" w14:textId="77777777" w:rsidR="00393964" w:rsidRPr="001452B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1452B2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9986AB" w14:textId="77777777" w:rsidR="00393964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8D021BE" w14:textId="77777777" w:rsidR="00393964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452B2" w14:paraId="1D62CB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7A3618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1452B2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77A3292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F314FC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978CA74" w14:textId="77777777" w:rsidR="00453362" w:rsidRPr="001452B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9FBCC36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BD60810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D001C7D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851B69C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1D75849" w14:textId="77777777" w:rsidR="00453362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452B2" w14:paraId="0EDC46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2B850E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A9C5D8E" w14:textId="1D5CBF60" w:rsidR="00453362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Učionica, </w:t>
            </w:r>
            <w:r w:rsidR="00B16407">
              <w:rPr>
                <w:rFonts w:ascii="Merriweather" w:hAnsi="Merriweather" w:cs="Times New Roman"/>
                <w:b/>
                <w:sz w:val="18"/>
                <w:szCs w:val="20"/>
              </w:rPr>
              <w:t>srijeda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</w:t>
            </w:r>
            <w:r w:rsidR="00DD2A15" w:rsidRPr="001452B2">
              <w:rPr>
                <w:rFonts w:ascii="Merriweather" w:hAnsi="Merriweather" w:cs="Times New Roman"/>
                <w:b/>
                <w:sz w:val="18"/>
                <w:szCs w:val="20"/>
              </w:rPr>
              <w:t>1</w:t>
            </w:r>
            <w:r w:rsidR="00B16407">
              <w:rPr>
                <w:rFonts w:ascii="Merriweather" w:hAnsi="Merriweather" w:cs="Times New Roman"/>
                <w:b/>
                <w:sz w:val="18"/>
                <w:szCs w:val="20"/>
              </w:rPr>
              <w:t>0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-1</w:t>
            </w:r>
            <w:r w:rsidR="00B16407">
              <w:rPr>
                <w:rFonts w:ascii="Merriweather" w:hAnsi="Merriweather" w:cs="Times New Roman"/>
                <w:b/>
                <w:sz w:val="18"/>
                <w:szCs w:val="20"/>
              </w:rPr>
              <w:t>3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BBDC09E" w14:textId="77777777" w:rsidR="00453362" w:rsidRPr="001452B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993316F" w14:textId="3E33DCD5" w:rsidR="00453362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1452B2" w14:paraId="1B31204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882696" w14:textId="77777777" w:rsidR="00453362" w:rsidRPr="001452B2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93D1CCA" w14:textId="21609354" w:rsidR="00453362" w:rsidRPr="001452B2" w:rsidRDefault="000B37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04.10.2022.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8863220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F3DA6B5" w14:textId="1100B69D" w:rsidR="00453362" w:rsidRPr="001452B2" w:rsidRDefault="000B37D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27.01.2023.</w:t>
            </w:r>
          </w:p>
        </w:tc>
      </w:tr>
      <w:tr w:rsidR="00453362" w:rsidRPr="001452B2" w14:paraId="3CD9E7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AF47C9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D61D29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0227A6D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843D12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452B2" w14:paraId="71C5DE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387500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EED543F" w14:textId="2A0A6D41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Izv. prof. dr. sc. Josipa Baraka Perica</w:t>
            </w:r>
          </w:p>
        </w:tc>
      </w:tr>
      <w:tr w:rsidR="00453362" w:rsidRPr="001452B2" w14:paraId="7DEFED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8ACAD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354456" w14:textId="73992036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jbaraka@unizd.hr; josipa.baraka</w:t>
            </w:r>
            <w:r w:rsidR="00AA428C" w:rsidRPr="001452B2">
              <w:rPr>
                <w:rFonts w:ascii="Merriweather" w:hAnsi="Merriweather" w:cs="Times New Roman"/>
                <w:sz w:val="18"/>
              </w:rPr>
              <w:t>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8B68C4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A5AF4E" w14:textId="77777777" w:rsidR="00453362" w:rsidRDefault="00B1640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</w:t>
            </w:r>
            <w:r w:rsidR="00AA428C" w:rsidRPr="001452B2">
              <w:rPr>
                <w:rFonts w:ascii="Merriweather" w:hAnsi="Merriweather" w:cs="Times New Roman"/>
                <w:sz w:val="18"/>
              </w:rPr>
              <w:t xml:space="preserve"> 1</w:t>
            </w:r>
            <w:r>
              <w:rPr>
                <w:rFonts w:ascii="Merriweather" w:hAnsi="Merriweather" w:cs="Times New Roman"/>
                <w:sz w:val="18"/>
              </w:rPr>
              <w:t>0-12</w:t>
            </w:r>
            <w:r w:rsidR="00AA428C" w:rsidRPr="001452B2">
              <w:rPr>
                <w:rFonts w:ascii="Merriweather" w:hAnsi="Merriweather" w:cs="Times New Roman"/>
                <w:sz w:val="18"/>
              </w:rPr>
              <w:t xml:space="preserve"> h</w:t>
            </w:r>
          </w:p>
          <w:p w14:paraId="043EF2A9" w14:textId="3605D812" w:rsidR="00B16407" w:rsidRPr="001452B2" w:rsidRDefault="00B1640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</w:t>
            </w:r>
          </w:p>
        </w:tc>
      </w:tr>
      <w:tr w:rsidR="00453362" w:rsidRPr="001452B2" w14:paraId="2770EE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771280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0DB1F6" w14:textId="65616C26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Izv. prof. dr. sc. Josipa Baraka Perica</w:t>
            </w:r>
          </w:p>
        </w:tc>
      </w:tr>
      <w:tr w:rsidR="00453362" w:rsidRPr="001452B2" w14:paraId="4EDB06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851BEA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78CAEC2" w14:textId="4FC1AB2F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jbaraka@unizd.hr; josipa.baraka@gmail.com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191EA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B9756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414F679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A1D53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27EB0BF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2BC937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456A97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16E3D1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2EB54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ED0AEF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04F322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6CEB83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93D8DB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6E7563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799389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1DDB7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97A39D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10957AD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3E93F13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87C2B40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452B2" w14:paraId="1A524BF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99C94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2CCBEFB" w14:textId="1BC23032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3C77082" w14:textId="62E44978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 w:rsidRPr="001452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5341673" w14:textId="77777777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A4E10D8" w14:textId="77777777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FE90ADB" w14:textId="77777777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1452B2" w14:paraId="5F692B3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239762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77C409" w14:textId="6DC2130B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A87ABD" w14:textId="77777777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798CF6" w14:textId="77777777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E218D36" w14:textId="77777777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8333445" w14:textId="77777777" w:rsidR="00453362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1452B2" w14:paraId="2BE3AA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0AC737D" w14:textId="77777777" w:rsidR="00310F9A" w:rsidRPr="001452B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E091AF" w14:textId="77777777" w:rsidR="00B16407" w:rsidRPr="00B16407" w:rsidRDefault="00B16407" w:rsidP="00B164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B16407">
              <w:rPr>
                <w:rFonts w:ascii="Merriweather" w:hAnsi="Merriweather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4641C4D5" w14:textId="77777777" w:rsidR="00B16407" w:rsidRPr="00B16407" w:rsidRDefault="00B16407" w:rsidP="00B164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B16407">
              <w:rPr>
                <w:rFonts w:ascii="Merriweather" w:hAnsi="Merriweather" w:cs="Times New Roman"/>
                <w:sz w:val="20"/>
                <w:szCs w:val="20"/>
              </w:rPr>
              <w:t>-  Pratiti razvoj kršćanske civilizacije od njezina postanka i razvoja do pape Grgura Velikog.</w:t>
            </w:r>
          </w:p>
          <w:p w14:paraId="64290C8C" w14:textId="77777777" w:rsidR="00B16407" w:rsidRPr="00B16407" w:rsidRDefault="00B16407" w:rsidP="00B164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B16407">
              <w:rPr>
                <w:rFonts w:ascii="Merriweather" w:hAnsi="Merriweather" w:cs="Times New Roman"/>
                <w:sz w:val="20"/>
                <w:szCs w:val="20"/>
              </w:rPr>
              <w:t xml:space="preserve">- Raspravljati o razvoju i evoluciji urbanoga tkiva kasnoantičkoga grada prouzrokovanom gradnjom novonastalih kršćanskih kultnih građevina i ostalog vezanog sadržaja. </w:t>
            </w:r>
          </w:p>
          <w:p w14:paraId="52D76251" w14:textId="15D349A7" w:rsidR="00310F9A" w:rsidRPr="001452B2" w:rsidRDefault="00B16407" w:rsidP="00B164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B16407">
              <w:rPr>
                <w:rFonts w:ascii="Merriweather" w:hAnsi="Merriweather" w:cs="Times New Roman"/>
                <w:sz w:val="20"/>
                <w:szCs w:val="20"/>
              </w:rPr>
              <w:lastRenderedPageBreak/>
              <w:t>-  Raspravljati o razvoju arhitekture kršćanskih kultnih građevina, te različitih vidova starokršćanske umjetnosti (skulpturi, slikarstvu, umjetničkom obrtu i dr.) i obrtništva (lončarstvo, staklarstvo, kamenoklesarstvo, zlatarstvo i dr.)</w:t>
            </w:r>
          </w:p>
        </w:tc>
      </w:tr>
      <w:tr w:rsidR="00310F9A" w:rsidRPr="001452B2" w14:paraId="292883D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0EBC44" w14:textId="77777777" w:rsidR="00310F9A" w:rsidRPr="001452B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8596946" w14:textId="1009D39B" w:rsidR="00310F9A" w:rsidRPr="001452B2" w:rsidRDefault="007B5F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 xml:space="preserve">- Postavljeni su temelji za daljnje učenje i napredovanje kroz razne kolegije kojima se bavi </w:t>
            </w:r>
            <w:r w:rsidR="00572E02">
              <w:rPr>
                <w:rFonts w:ascii="Merriweather" w:hAnsi="Merriweather" w:cs="Times New Roman"/>
                <w:sz w:val="18"/>
              </w:rPr>
              <w:t xml:space="preserve">Antička, </w:t>
            </w:r>
            <w:r w:rsidRPr="001452B2">
              <w:rPr>
                <w:rFonts w:ascii="Merriweather" w:hAnsi="Merriweather" w:cs="Times New Roman"/>
                <w:sz w:val="18"/>
              </w:rPr>
              <w:t xml:space="preserve">Starokršćanska </w:t>
            </w:r>
            <w:r w:rsidR="00572E02">
              <w:rPr>
                <w:rFonts w:ascii="Merriweather" w:hAnsi="Merriweather" w:cs="Times New Roman"/>
                <w:sz w:val="18"/>
              </w:rPr>
              <w:t xml:space="preserve">i Srednjovjekovna </w:t>
            </w:r>
            <w:bookmarkStart w:id="0" w:name="_GoBack"/>
            <w:bookmarkEnd w:id="0"/>
            <w:r w:rsidRPr="001452B2">
              <w:rPr>
                <w:rFonts w:ascii="Merriweather" w:hAnsi="Merriweather" w:cs="Times New Roman"/>
                <w:sz w:val="18"/>
              </w:rPr>
              <w:t>arheologija kao znanstvena disciplina.</w:t>
            </w:r>
          </w:p>
        </w:tc>
      </w:tr>
      <w:tr w:rsidR="00FC2198" w:rsidRPr="001452B2" w14:paraId="1C9FD70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25687AE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1452B2" w14:paraId="5E1AA66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08356E" w14:textId="77777777" w:rsidR="00FC2198" w:rsidRPr="001452B2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67E4C" w14:textId="3D2DDDF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F58126F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0C80A96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54AE34E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4FECD67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452B2" w14:paraId="62939D5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F6DDFC2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2DED5D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DF80B75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452B2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FDC7F51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90D0AFC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46B471B" w14:textId="284B42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452B2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452B2" w14:paraId="4F1A809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4070357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18156C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2FA8A88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0A14305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594F8D2" w14:textId="77777777" w:rsidR="00FC2198" w:rsidRPr="001452B2" w:rsidRDefault="00227E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452B2" w14:paraId="06B49D5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6C49EDD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00F54FD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6ED9D46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14:paraId="673C1313" w14:textId="176FD893" w:rsidR="00713062" w:rsidRPr="001452B2" w:rsidRDefault="007130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</w:p>
        </w:tc>
      </w:tr>
      <w:tr w:rsidR="00FC2198" w:rsidRPr="001452B2" w14:paraId="3A1F7A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04E720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9238C46" w14:textId="146F5BB5" w:rsidR="00FC2198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3C8FE25" w14:textId="77777777" w:rsidR="00FC2198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CAAB6E" w14:textId="77777777" w:rsidR="00FC2198" w:rsidRPr="001452B2" w:rsidRDefault="00227E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1452B2" w14:paraId="7D59D9A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4AE042F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2E3746A" w14:textId="5F266A54" w:rsidR="00FC2198" w:rsidRPr="001452B2" w:rsidRDefault="005D52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30.01.-24.02.2023.</w:t>
            </w:r>
          </w:p>
        </w:tc>
        <w:tc>
          <w:tcPr>
            <w:tcW w:w="2471" w:type="dxa"/>
            <w:gridSpan w:val="12"/>
            <w:vAlign w:val="center"/>
          </w:tcPr>
          <w:p w14:paraId="6AF5CB37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281EC79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13062" w:rsidRPr="001452B2" w14:paraId="2EB01813" w14:textId="77777777" w:rsidTr="000F7416">
        <w:tc>
          <w:tcPr>
            <w:tcW w:w="1802" w:type="dxa"/>
            <w:shd w:val="clear" w:color="auto" w:fill="F2F2F2" w:themeFill="background1" w:themeFillShade="F2"/>
          </w:tcPr>
          <w:p w14:paraId="7B002466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2FB8B4C" w14:textId="77777777" w:rsidR="00B16407" w:rsidRPr="00B16407" w:rsidRDefault="00B16407" w:rsidP="00B164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6407">
              <w:rPr>
                <w:rFonts w:ascii="Merriweather" w:eastAsia="MS Gothic" w:hAnsi="Merriweather" w:cs="Times New Roman"/>
                <w:sz w:val="18"/>
              </w:rPr>
              <w:t xml:space="preserve">- Kršćanska arheološka topografija Rimskog Carstva: upoznavanje s najvažnijim lokalitetima putem kojih se iščitavaju procesi kristijanizacije Europe i šireg prostora nekadašnjeg Carstva,  te različiti vidovi starokršćanske arheologije i umjetnosti (skulptura, slikarstvo, umjetnički obrt i dr.) i obrtništvo (lončarstvo, staklarstvo, kamenoklesarstvo, zlatarstvo i dr.). </w:t>
            </w:r>
          </w:p>
          <w:p w14:paraId="271BA0E0" w14:textId="77777777" w:rsidR="00B16407" w:rsidRPr="00B16407" w:rsidRDefault="00B16407" w:rsidP="00B164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6407">
              <w:rPr>
                <w:rFonts w:ascii="Merriweather" w:eastAsia="MS Gothic" w:hAnsi="Merriweather" w:cs="Times New Roman"/>
                <w:sz w:val="18"/>
              </w:rPr>
              <w:t>- Osnovi sadržaji, ciljevi i teme starokršćanske arheologije kao discipline.</w:t>
            </w:r>
          </w:p>
          <w:p w14:paraId="4F814E92" w14:textId="69F7890A" w:rsidR="00713062" w:rsidRPr="001452B2" w:rsidRDefault="00B16407" w:rsidP="00B164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6407">
              <w:rPr>
                <w:rFonts w:ascii="Merriweather" w:eastAsia="MS Gothic" w:hAnsi="Merriweather" w:cs="Times New Roman"/>
                <w:sz w:val="18"/>
              </w:rPr>
              <w:t>- Različiti primjeri kršćanske materijalne kulture.</w:t>
            </w:r>
          </w:p>
        </w:tc>
      </w:tr>
      <w:tr w:rsidR="00713062" w:rsidRPr="001452B2" w14:paraId="715356F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984CFF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CCF4462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1. Uvod – starokršćanska arheologija nekada i danas. Osnovni ciljevi discipline </w:t>
            </w:r>
          </w:p>
          <w:p w14:paraId="267F36D9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2. Domus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Ecclesiae</w:t>
            </w:r>
            <w:proofErr w:type="spellEnd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– kršćanska arhitektura prije cara Konstantina Velikog </w:t>
            </w:r>
          </w:p>
          <w:p w14:paraId="7967F51A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3. Arheologija arhitekture: starokršćansko graditeljstvo za vrijeme cara Konstantina Velikog I (uvod i primjeri iz Rima)</w:t>
            </w:r>
          </w:p>
          <w:p w14:paraId="2432D138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4. Starokršćansko graditeljstvo za vrijeme cara Konstantina Velikog II (Rim: Sv. Ivan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Lateranski</w:t>
            </w:r>
            <w:proofErr w:type="spellEnd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, sv. Petar, bazilike s deambulatorijem)</w:t>
            </w:r>
          </w:p>
          <w:p w14:paraId="4C91250A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5. Starokršćansko graditeljstvo za vrijeme cara Konstantina Velikog III (Sveta Zemlja,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Trijer</w:t>
            </w:r>
            <w:proofErr w:type="spellEnd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, Akvileja)</w:t>
            </w:r>
          </w:p>
          <w:p w14:paraId="7746C659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6. a) Starokršćanska topografija i starokršćansko graditeljstvo Rima; b) Arheologija asketizma i hodočašća</w:t>
            </w:r>
          </w:p>
          <w:p w14:paraId="71343CBD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Kolokvij I – točno mjesto i vrijeme po dogovoru</w:t>
            </w:r>
          </w:p>
          <w:p w14:paraId="7C0B1AF6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7. Kristijanizacija građevina za zabavu</w:t>
            </w:r>
          </w:p>
          <w:p w14:paraId="51165CC2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8. Pogrebna arheologija: kršćanska groblja i gradnja bazilika nad grobovima mučenika</w:t>
            </w:r>
          </w:p>
          <w:p w14:paraId="61F14F06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9. a) Milano; b) Ravenna</w:t>
            </w:r>
          </w:p>
          <w:p w14:paraId="01717D23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10. Primjer transformacije poganskog hrama u kršćansku baziliku</w:t>
            </w:r>
          </w:p>
          <w:p w14:paraId="79DA6707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11. Ikonografija</w:t>
            </w:r>
          </w:p>
          <w:p w14:paraId="4AAF640A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12. Carigrad</w:t>
            </w:r>
          </w:p>
          <w:p w14:paraId="459DB99C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13.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Artes</w:t>
            </w:r>
            <w:proofErr w:type="spellEnd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Minores</w:t>
            </w:r>
            <w:proofErr w:type="spellEnd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</w:t>
            </w:r>
          </w:p>
          <w:p w14:paraId="4EE677AD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14. Posebne teme </w:t>
            </w:r>
          </w:p>
          <w:p w14:paraId="7A8A1829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</w:p>
          <w:p w14:paraId="1ECDE7D0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Kolokvij II – točno mjesto i vrijeme po dogovoru.</w:t>
            </w:r>
          </w:p>
          <w:p w14:paraId="5C42E769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</w:p>
          <w:p w14:paraId="0DB4809D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SEMINARI</w:t>
            </w:r>
          </w:p>
          <w:p w14:paraId="60B6B5DD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</w:p>
          <w:p w14:paraId="5C6BCD47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1. Povijest istraživanja i literatura lokaliteta Tarac i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Tureta</w:t>
            </w:r>
            <w:proofErr w:type="spellEnd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na Kornatu</w:t>
            </w:r>
          </w:p>
          <w:p w14:paraId="2EAF0F82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2. Povijest istraživanja i literatura za lokalitete Sv. Damjan na Rabu i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Korintija</w:t>
            </w:r>
            <w:proofErr w:type="spellEnd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na Krku</w:t>
            </w:r>
          </w:p>
          <w:p w14:paraId="0CF2CB97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3. Povijest istraživanja i literatura za starokršćanske nalaze na Bribiru</w:t>
            </w:r>
          </w:p>
          <w:p w14:paraId="59791FC5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4. Povijest istraživanja i literatura za lokalitet Crkvina u </w:t>
            </w:r>
            <w:proofErr w:type="spellStart"/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Zmijavcima</w:t>
            </w:r>
            <w:proofErr w:type="spellEnd"/>
          </w:p>
          <w:p w14:paraId="16C4A016" w14:textId="77777777" w:rsidR="00AA6555" w:rsidRPr="00AA6555" w:rsidRDefault="00AA6555" w:rsidP="00AA65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A6555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5. Povijest istraživanja i literatura za Zadar-episkopalni kompleks</w:t>
            </w:r>
          </w:p>
          <w:p w14:paraId="3C179F9E" w14:textId="6CA5B9A1" w:rsidR="00DD2A15" w:rsidRPr="001452B2" w:rsidRDefault="00DD2A15" w:rsidP="007B5F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3062" w:rsidRPr="001452B2" w14:paraId="5BC199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3C81D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94B6EBE" w14:textId="4431D33A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BISCONTI, F.,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Art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Oxford University Press, 2019, 209–220. </w:t>
            </w:r>
          </w:p>
          <w:p w14:paraId="3DE45454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: A State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Field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Religion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Compass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2/4, 2008, 575–619. </w:t>
            </w:r>
          </w:p>
          <w:p w14:paraId="7B83E42B" w14:textId="4EF68A9C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BROOKS HEDSTROM, D. L.,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Monastic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Communities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Oxford University Press, 2019, 147–166.</w:t>
            </w:r>
          </w:p>
          <w:p w14:paraId="47523F17" w14:textId="53EC21A5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BUBIĆ, V., Kasnoantičke svjetiljke s ranokršćanskim prikazima iz Arheološkog muzeja u Splitu,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Vjesnik za arheologiju i povijest dalmatinsku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104, Split, 2011, 227–308. </w:t>
            </w:r>
          </w:p>
          <w:p w14:paraId="394B2D52" w14:textId="65A2209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BULJEVIĆ, Z., Neobjavljeni starokršćanski stakleni predmeti iz Arheološkog muzeja u Splitu,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Diadora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>, 20, Zadar 2000, 257–270.</w:t>
            </w:r>
          </w:p>
          <w:p w14:paraId="14168612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Umjetnost antike u hrvatskim krajevima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Zagreb, 2020. </w:t>
            </w:r>
          </w:p>
          <w:p w14:paraId="1D466283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CHEVALIER, P.,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Ecclesiae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Dalmatiae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I-II,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L'architecture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paléochrétienne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de la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province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romaine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de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Dalmatie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(IV-VII s.), Rome-Split, 1995.</w:t>
            </w:r>
          </w:p>
          <w:p w14:paraId="529ED5A2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DYGGVE, E.,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Split, 1996.</w:t>
            </w:r>
          </w:p>
          <w:p w14:paraId="32768045" w14:textId="76D9ACF0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EASTMAN, D. L.,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Martyria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, William R.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Caraher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Oxford University Press, 2019, 89-105.</w:t>
            </w:r>
          </w:p>
          <w:p w14:paraId="0723976F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FIOCCHI NICOLAI, V., BISCONTI, B., MAZZOLENI, D.,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Catacombs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Rome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Roma 2002. </w:t>
            </w:r>
          </w:p>
          <w:p w14:paraId="7B7531EC" w14:textId="065575C3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FIOCCHI NICOLAI, V.,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Oxford University Press, 2019, 67</w:t>
            </w: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88.</w:t>
            </w:r>
          </w:p>
          <w:p w14:paraId="63753075" w14:textId="6CB13540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JANSON, H. W.,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Povijest umjetnosti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Varaždin 2013.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</w:p>
          <w:p w14:paraId="29F26B44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KOCHAV, S.,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Izrael sveta zemlja i njezin sjaj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Zagreb 2000.</w:t>
            </w:r>
          </w:p>
          <w:p w14:paraId="5409EA84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KRAUTHEIMER, R., ĆURČIĆ, S.,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Ranohrišćanska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i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vizantijska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arhitektura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Beograd, 2008.</w:t>
            </w:r>
          </w:p>
          <w:p w14:paraId="1B76A97D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MANACORDA, D., FRANCHOVICH, R.,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Arheološki rječnik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Sandorf, 2014.</w:t>
            </w:r>
          </w:p>
          <w:p w14:paraId="3250EA97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MIGOTTI, B., Arheološka građa iz ranokršćanskog razdoblja u kontinentalnoj Hrvatskoj,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Od nepobjedivog sunca do sunca pravde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Zagreb, 1994,  40-70. </w:t>
            </w:r>
          </w:p>
          <w:p w14:paraId="654475F3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MIGOTTI, B., Pozlaćena stakla sa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Štrbinaca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kod Đakova, Đakovo, 2003.</w:t>
            </w:r>
          </w:p>
          <w:p w14:paraId="0E6DD5FB" w14:textId="0EFC30D8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MIGOTTI, B., Ranokršćanska arheologija,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Hrvatska arheologija u XX. stoljeću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Zagreb, 2009, 513</w:t>
            </w: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525. </w:t>
            </w:r>
          </w:p>
          <w:p w14:paraId="26B6A479" w14:textId="0499F2C5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NOGA-BANAI, G.,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Visual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Rhetoric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Reliquaries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Oxford University Press, 2019, 221-237. </w:t>
            </w:r>
          </w:p>
          <w:p w14:paraId="47D088D4" w14:textId="5F8A960D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PARANI, M.,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Lamps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Oxford University Press, 2019, 313-332. </w:t>
            </w:r>
          </w:p>
          <w:p w14:paraId="261E02CF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TALBOT RICE, D.,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Bizantska umjetnost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>, Rijeka, 1970.</w:t>
            </w:r>
          </w:p>
          <w:p w14:paraId="685E9836" w14:textId="1F79D4DB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TAYLOR, J., E.,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Palestine (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Roman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Byzantine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Periods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, Oxford University Press, 2019, 369-389. </w:t>
            </w:r>
          </w:p>
          <w:p w14:paraId="100247BB" w14:textId="77777777" w:rsidR="00503E94" w:rsidRPr="00503E94" w:rsidRDefault="00503E94" w:rsidP="00503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E94">
              <w:rPr>
                <w:rFonts w:ascii="Merriweather" w:eastAsia="MS Gothic" w:hAnsi="Merriweather" w:cs="Times New Roman"/>
                <w:sz w:val="18"/>
              </w:rPr>
              <w:lastRenderedPageBreak/>
              <w:t>WEITZMANN, K., (</w:t>
            </w:r>
            <w:proofErr w:type="spellStart"/>
            <w:r w:rsidRPr="00503E94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Age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spirituality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, Late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antique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Christian Art, Third to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Seventh</w:t>
            </w:r>
            <w:proofErr w:type="spellEnd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503E94">
              <w:rPr>
                <w:rFonts w:ascii="Merriweather" w:eastAsia="MS Gothic" w:hAnsi="Merriweather" w:cs="Times New Roman"/>
                <w:i/>
                <w:sz w:val="18"/>
              </w:rPr>
              <w:t>Century</w:t>
            </w:r>
            <w:proofErr w:type="spellEnd"/>
            <w:r w:rsidRPr="00503E94">
              <w:rPr>
                <w:rFonts w:ascii="Merriweather" w:eastAsia="MS Gothic" w:hAnsi="Merriweather" w:cs="Times New Roman"/>
                <w:sz w:val="18"/>
              </w:rPr>
              <w:t>, New York 1971.</w:t>
            </w:r>
          </w:p>
          <w:p w14:paraId="1D4E312F" w14:textId="58579301" w:rsidR="001051CB" w:rsidRPr="001452B2" w:rsidRDefault="001051C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52BF72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217A3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85AE992" w14:textId="29A30534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713062" w:rsidRPr="001452B2" w14:paraId="2978FF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6EC6A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9F8664A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5DFDBF1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E2101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8909C7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ECF9E6E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6E4F57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A98F374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8C08D06" w14:textId="77777777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EED786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ECF204C" w14:textId="77777777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B16DDAC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42F610" w14:textId="659C2E1A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EE690D6" w14:textId="77777777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13062" w:rsidRPr="001452B2" w14:paraId="320EDF6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DAE4C3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C871523" w14:textId="77777777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542A2C7" w14:textId="77777777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86B7592" w14:textId="77777777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D8A549B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EDC8DBC" w14:textId="26501C93" w:rsidR="00713062" w:rsidRPr="001452B2" w:rsidRDefault="00227EEF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E362D74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F7A91E8" w14:textId="77777777" w:rsidR="00713062" w:rsidRPr="001452B2" w:rsidRDefault="00227EEF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C3C5828" w14:textId="77777777" w:rsidR="00713062" w:rsidRPr="001452B2" w:rsidRDefault="00227EEF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13062" w:rsidRPr="001452B2" w14:paraId="2C797E5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9E642F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A766E7C" w14:textId="2EB6EDDF" w:rsidR="00713062" w:rsidRPr="001452B2" w:rsidRDefault="005D521E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13062" w:rsidRPr="001452B2" w14:paraId="6DD15AA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BF17E3E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A84DCCE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6177ADE" w14:textId="0C082855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0-50 nedovoljan (1)</w:t>
            </w:r>
          </w:p>
        </w:tc>
      </w:tr>
      <w:tr w:rsidR="00713062" w:rsidRPr="001452B2" w14:paraId="782509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90C2B8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8AC9E9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E70CAE8" w14:textId="3A1B271F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51-60 dovoljan (2)</w:t>
            </w:r>
          </w:p>
        </w:tc>
      </w:tr>
      <w:tr w:rsidR="00713062" w:rsidRPr="001452B2" w14:paraId="2F2F3E1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E1273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AADED2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532F6B5" w14:textId="0A601394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61-80 dobar (3)</w:t>
            </w:r>
          </w:p>
        </w:tc>
      </w:tr>
      <w:tr w:rsidR="00713062" w:rsidRPr="001452B2" w14:paraId="639AF0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26EDFDD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28EE865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F762CA1" w14:textId="4C64ECE2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81-90 vrlo dobar (4)</w:t>
            </w:r>
          </w:p>
        </w:tc>
      </w:tr>
      <w:tr w:rsidR="00713062" w:rsidRPr="001452B2" w14:paraId="0D2FE7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A02D08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906E192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089B05" w14:textId="4E7DD519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91-100 izvrstan (5)</w:t>
            </w:r>
          </w:p>
        </w:tc>
      </w:tr>
      <w:tr w:rsidR="00713062" w:rsidRPr="001452B2" w14:paraId="652B3C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DAC842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1414A18" w14:textId="77777777" w:rsidR="00713062" w:rsidRPr="001452B2" w:rsidRDefault="00227EEF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C44474" w14:textId="77777777" w:rsidR="00713062" w:rsidRPr="001452B2" w:rsidRDefault="00227EEF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482D66F" w14:textId="77777777" w:rsidR="00713062" w:rsidRPr="001452B2" w:rsidRDefault="00227EEF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A690DF5" w14:textId="77777777" w:rsidR="00713062" w:rsidRPr="001452B2" w:rsidRDefault="00227EEF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B4946BB" w14:textId="77777777" w:rsidR="00713062" w:rsidRPr="001452B2" w:rsidRDefault="00227EEF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13062" w:rsidRPr="00FF1020" w14:paraId="1076804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BCE46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7937380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EC2C9CB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1C457D9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452B2">
              <w:rPr>
                <w:rFonts w:ascii="Merriweather" w:hAnsi="Merriweather" w:cs="Times New Roman"/>
              </w:rPr>
              <w:t xml:space="preserve"> 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46AF747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69D114C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AD546C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8C757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452B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452B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D836C50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5DF0C4F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8E804F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1388D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D23A5D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A6CB" w14:textId="77777777" w:rsidR="00227EEF" w:rsidRDefault="00227EEF" w:rsidP="009947BA">
      <w:pPr>
        <w:spacing w:before="0" w:after="0"/>
      </w:pPr>
      <w:r>
        <w:separator/>
      </w:r>
    </w:p>
  </w:endnote>
  <w:endnote w:type="continuationSeparator" w:id="0">
    <w:p w14:paraId="39E0F5AE" w14:textId="77777777" w:rsidR="00227EEF" w:rsidRDefault="00227EE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3888C" w14:textId="77777777" w:rsidR="00227EEF" w:rsidRDefault="00227EEF" w:rsidP="009947BA">
      <w:pPr>
        <w:spacing w:before="0" w:after="0"/>
      </w:pPr>
      <w:r>
        <w:separator/>
      </w:r>
    </w:p>
  </w:footnote>
  <w:footnote w:type="continuationSeparator" w:id="0">
    <w:p w14:paraId="6E74232D" w14:textId="77777777" w:rsidR="00227EEF" w:rsidRDefault="00227EEF" w:rsidP="009947BA">
      <w:pPr>
        <w:spacing w:before="0" w:after="0"/>
      </w:pPr>
      <w:r>
        <w:continuationSeparator/>
      </w:r>
    </w:p>
  </w:footnote>
  <w:footnote w:id="1">
    <w:p w14:paraId="2CB2C00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3F99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06B9A" wp14:editId="638CD42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BF76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954E702" wp14:editId="492F33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06B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0CBF76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954E702" wp14:editId="492F335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9439D3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1F3D9AB" w14:textId="77777777" w:rsidR="0079745E" w:rsidRDefault="0079745E" w:rsidP="0079745E">
    <w:pPr>
      <w:pStyle w:val="Header"/>
    </w:pPr>
  </w:p>
  <w:p w14:paraId="72F24B10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50AD"/>
    <w:rsid w:val="000B37D5"/>
    <w:rsid w:val="000C0578"/>
    <w:rsid w:val="0010332B"/>
    <w:rsid w:val="001051CB"/>
    <w:rsid w:val="00121758"/>
    <w:rsid w:val="00130F9D"/>
    <w:rsid w:val="001443A2"/>
    <w:rsid w:val="001452B2"/>
    <w:rsid w:val="00150B32"/>
    <w:rsid w:val="00197510"/>
    <w:rsid w:val="001C7C51"/>
    <w:rsid w:val="001D180A"/>
    <w:rsid w:val="00226462"/>
    <w:rsid w:val="0022722C"/>
    <w:rsid w:val="00227EEF"/>
    <w:rsid w:val="002446EF"/>
    <w:rsid w:val="0028545A"/>
    <w:rsid w:val="002E1CE6"/>
    <w:rsid w:val="002E58C4"/>
    <w:rsid w:val="002F2D22"/>
    <w:rsid w:val="002F7B38"/>
    <w:rsid w:val="00310F9A"/>
    <w:rsid w:val="00326091"/>
    <w:rsid w:val="00357643"/>
    <w:rsid w:val="00371634"/>
    <w:rsid w:val="00386E9C"/>
    <w:rsid w:val="00391852"/>
    <w:rsid w:val="00393964"/>
    <w:rsid w:val="003D595B"/>
    <w:rsid w:val="003F11B6"/>
    <w:rsid w:val="003F17B8"/>
    <w:rsid w:val="003F4EFE"/>
    <w:rsid w:val="00453362"/>
    <w:rsid w:val="00461219"/>
    <w:rsid w:val="00470F6D"/>
    <w:rsid w:val="00483BC3"/>
    <w:rsid w:val="004B1B3D"/>
    <w:rsid w:val="004B553E"/>
    <w:rsid w:val="004E01C0"/>
    <w:rsid w:val="00503E94"/>
    <w:rsid w:val="00507C65"/>
    <w:rsid w:val="00510030"/>
    <w:rsid w:val="00527C5F"/>
    <w:rsid w:val="005353ED"/>
    <w:rsid w:val="005514C3"/>
    <w:rsid w:val="005615A1"/>
    <w:rsid w:val="00572E02"/>
    <w:rsid w:val="005A1FF3"/>
    <w:rsid w:val="005D521E"/>
    <w:rsid w:val="005E1668"/>
    <w:rsid w:val="005E5F80"/>
    <w:rsid w:val="005F2D0D"/>
    <w:rsid w:val="005F3CF1"/>
    <w:rsid w:val="005F6E0B"/>
    <w:rsid w:val="0062328F"/>
    <w:rsid w:val="00656DDA"/>
    <w:rsid w:val="00684BBC"/>
    <w:rsid w:val="006A6A4C"/>
    <w:rsid w:val="006B4920"/>
    <w:rsid w:val="00700D7A"/>
    <w:rsid w:val="00713062"/>
    <w:rsid w:val="00721260"/>
    <w:rsid w:val="00735D04"/>
    <w:rsid w:val="007361E7"/>
    <w:rsid w:val="007368EB"/>
    <w:rsid w:val="0078125F"/>
    <w:rsid w:val="00794496"/>
    <w:rsid w:val="007967CC"/>
    <w:rsid w:val="0079745E"/>
    <w:rsid w:val="00797B40"/>
    <w:rsid w:val="007B1DC7"/>
    <w:rsid w:val="007B5F64"/>
    <w:rsid w:val="007C43A4"/>
    <w:rsid w:val="007C7D46"/>
    <w:rsid w:val="007D4D2D"/>
    <w:rsid w:val="00865776"/>
    <w:rsid w:val="008702F1"/>
    <w:rsid w:val="00870665"/>
    <w:rsid w:val="00874D5D"/>
    <w:rsid w:val="00891C60"/>
    <w:rsid w:val="008942F0"/>
    <w:rsid w:val="008C751A"/>
    <w:rsid w:val="008D3B4D"/>
    <w:rsid w:val="008D45DB"/>
    <w:rsid w:val="008E243D"/>
    <w:rsid w:val="0090214F"/>
    <w:rsid w:val="00903188"/>
    <w:rsid w:val="009052C2"/>
    <w:rsid w:val="009163E6"/>
    <w:rsid w:val="00924B77"/>
    <w:rsid w:val="00965DC6"/>
    <w:rsid w:val="009760E8"/>
    <w:rsid w:val="009947BA"/>
    <w:rsid w:val="00997F41"/>
    <w:rsid w:val="009A3A9D"/>
    <w:rsid w:val="009C56B1"/>
    <w:rsid w:val="009D5226"/>
    <w:rsid w:val="009E2FD4"/>
    <w:rsid w:val="009F1F74"/>
    <w:rsid w:val="00A06750"/>
    <w:rsid w:val="00A9132B"/>
    <w:rsid w:val="00A9140D"/>
    <w:rsid w:val="00AA1A5A"/>
    <w:rsid w:val="00AA428C"/>
    <w:rsid w:val="00AA6555"/>
    <w:rsid w:val="00AD23FB"/>
    <w:rsid w:val="00B16407"/>
    <w:rsid w:val="00B25407"/>
    <w:rsid w:val="00B5197D"/>
    <w:rsid w:val="00B71A57"/>
    <w:rsid w:val="00B7307A"/>
    <w:rsid w:val="00C02454"/>
    <w:rsid w:val="00C07400"/>
    <w:rsid w:val="00C3477B"/>
    <w:rsid w:val="00C82C00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2A15"/>
    <w:rsid w:val="00DE6D53"/>
    <w:rsid w:val="00E06E39"/>
    <w:rsid w:val="00E07D73"/>
    <w:rsid w:val="00E17D18"/>
    <w:rsid w:val="00E30E67"/>
    <w:rsid w:val="00EB5A72"/>
    <w:rsid w:val="00EF0F78"/>
    <w:rsid w:val="00EF7891"/>
    <w:rsid w:val="00F02A8F"/>
    <w:rsid w:val="00F22855"/>
    <w:rsid w:val="00F513E0"/>
    <w:rsid w:val="00F566DA"/>
    <w:rsid w:val="00F82834"/>
    <w:rsid w:val="00F84F5E"/>
    <w:rsid w:val="00FC0F12"/>
    <w:rsid w:val="00FC2198"/>
    <w:rsid w:val="00FC283E"/>
    <w:rsid w:val="00FC2BCA"/>
    <w:rsid w:val="00FE383F"/>
    <w:rsid w:val="00FF1020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B12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4889-8AA4-4550-A06D-66EA595C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37</cp:revision>
  <cp:lastPrinted>2021-02-12T11:27:00Z</cp:lastPrinted>
  <dcterms:created xsi:type="dcterms:W3CDTF">2022-11-02T09:19:00Z</dcterms:created>
  <dcterms:modified xsi:type="dcterms:W3CDTF">2022-11-02T10:28:00Z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afe2689ad3ab650341b64753d653f38fd91f82393c439dd2824c0fc3855468c8</vt:lpwstr>
  </property>
</Properties>
</file>