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FFEE" w14:textId="77777777" w:rsidR="00415D4D" w:rsidRDefault="00000000">
      <w:pPr>
        <w:pStyle w:val="Tijelo"/>
        <w:jc w:val="center"/>
        <w:rPr>
          <w:rFonts w:ascii="Merriweather Bold" w:eastAsia="Merriweather Bold" w:hAnsi="Merriweather Bold" w:cs="Merriweather Bold"/>
          <w:sz w:val="24"/>
          <w:szCs w:val="24"/>
        </w:rPr>
      </w:pPr>
      <w:r>
        <w:rPr>
          <w:rFonts w:ascii="Merriweather Bold" w:hAnsi="Merriweather Bold"/>
          <w:sz w:val="24"/>
          <w:szCs w:val="24"/>
        </w:rPr>
        <w:t>Izvedbeni plan nastave (syllabus</w:t>
      </w:r>
      <w:r>
        <w:rPr>
          <w:rFonts w:ascii="Merriweather Regular" w:eastAsia="Merriweather Regular" w:hAnsi="Merriweather Regular" w:cs="Merriweather Regular"/>
          <w:sz w:val="24"/>
          <w:szCs w:val="24"/>
          <w:vertAlign w:val="superscript"/>
        </w:rPr>
        <w:footnoteReference w:id="2"/>
      </w:r>
      <w:r>
        <w:rPr>
          <w:rFonts w:ascii="Merriweather Bold" w:hAnsi="Merriweather Bold"/>
          <w:sz w:val="24"/>
          <w:szCs w:val="24"/>
        </w:rPr>
        <w:t>)</w:t>
      </w:r>
    </w:p>
    <w:tbl>
      <w:tblPr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3"/>
        <w:gridCol w:w="362"/>
        <w:gridCol w:w="365"/>
        <w:gridCol w:w="209"/>
        <w:gridCol w:w="153"/>
        <w:gridCol w:w="155"/>
        <w:gridCol w:w="154"/>
        <w:gridCol w:w="154"/>
        <w:gridCol w:w="152"/>
        <w:gridCol w:w="156"/>
        <w:gridCol w:w="216"/>
        <w:gridCol w:w="154"/>
        <w:gridCol w:w="317"/>
        <w:gridCol w:w="217"/>
        <w:gridCol w:w="154"/>
        <w:gridCol w:w="154"/>
        <w:gridCol w:w="154"/>
        <w:gridCol w:w="154"/>
        <w:gridCol w:w="381"/>
        <w:gridCol w:w="218"/>
        <w:gridCol w:w="291"/>
        <w:gridCol w:w="190"/>
        <w:gridCol w:w="420"/>
        <w:gridCol w:w="153"/>
        <w:gridCol w:w="155"/>
        <w:gridCol w:w="153"/>
        <w:gridCol w:w="154"/>
        <w:gridCol w:w="194"/>
        <w:gridCol w:w="155"/>
        <w:gridCol w:w="153"/>
        <w:gridCol w:w="153"/>
        <w:gridCol w:w="207"/>
        <w:gridCol w:w="155"/>
        <w:gridCol w:w="971"/>
      </w:tblGrid>
      <w:tr w:rsidR="00415D4D" w14:paraId="37320294" w14:textId="77777777" w:rsidTr="005B5DE2">
        <w:trPr>
          <w:trHeight w:val="5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73072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Sastavnica</w:t>
            </w:r>
          </w:p>
        </w:tc>
        <w:tc>
          <w:tcPr>
            <w:tcW w:w="518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36DE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Odjel za povijest umjetnosti</w:t>
            </w:r>
          </w:p>
        </w:tc>
        <w:tc>
          <w:tcPr>
            <w:tcW w:w="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B7FE" w14:textId="77777777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akad. god.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60D7" w14:textId="49060EBE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Regular" w:hAnsi="Merriweather Regular"/>
                <w:sz w:val="20"/>
                <w:szCs w:val="20"/>
              </w:rPr>
              <w:t>202</w:t>
            </w:r>
            <w:r w:rsidR="005B5DE2">
              <w:rPr>
                <w:rFonts w:ascii="Merriweather Regular" w:hAnsi="Merriweather Regular"/>
                <w:sz w:val="20"/>
                <w:szCs w:val="20"/>
                <w:lang w:val="hr-HR"/>
              </w:rPr>
              <w:t>3</w:t>
            </w:r>
            <w:r>
              <w:rPr>
                <w:rFonts w:ascii="Merriweather Regular" w:hAnsi="Merriweather Regular"/>
                <w:sz w:val="20"/>
                <w:szCs w:val="20"/>
              </w:rPr>
              <w:t>./202</w:t>
            </w:r>
            <w:r w:rsidR="005B5DE2">
              <w:rPr>
                <w:rFonts w:ascii="Merriweather Regular" w:hAnsi="Merriweather Regular"/>
                <w:sz w:val="20"/>
                <w:szCs w:val="20"/>
                <w:lang w:val="hr-HR"/>
              </w:rPr>
              <w:t>4</w:t>
            </w:r>
            <w:r>
              <w:rPr>
                <w:rFonts w:ascii="Merriweather Regular" w:hAnsi="Merriweather Regular"/>
                <w:sz w:val="20"/>
                <w:szCs w:val="20"/>
              </w:rPr>
              <w:t>.</w:t>
            </w:r>
          </w:p>
        </w:tc>
      </w:tr>
      <w:tr w:rsidR="00415D4D" w14:paraId="6B00EB2A" w14:textId="77777777" w:rsidTr="005B5DE2">
        <w:trPr>
          <w:trHeight w:val="55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C5E1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kolegija</w:t>
            </w:r>
          </w:p>
        </w:tc>
        <w:tc>
          <w:tcPr>
            <w:tcW w:w="518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9019B" w14:textId="77777777" w:rsidR="00415D4D" w:rsidRDefault="00000000">
            <w:pPr>
              <w:pStyle w:val="Tijelo"/>
              <w:spacing w:before="20" w:after="20"/>
              <w:jc w:val="center"/>
              <w:rPr>
                <w:rFonts w:ascii="Merriweather Bold" w:eastAsia="Merriweather Bold" w:hAnsi="Merriweather Bold" w:cs="Merriweather Bold"/>
                <w:sz w:val="20"/>
                <w:szCs w:val="20"/>
              </w:rPr>
            </w:pPr>
            <w:r>
              <w:rPr>
                <w:rFonts w:ascii="Merriweather Bold" w:hAnsi="Merriweather Bold"/>
                <w:sz w:val="20"/>
                <w:szCs w:val="20"/>
                <w:lang w:val="en-US"/>
              </w:rPr>
              <w:t xml:space="preserve">UMJETNOST DREVNIH CIVILIZACIJA </w:t>
            </w:r>
          </w:p>
          <w:p w14:paraId="0DCF9258" w14:textId="77777777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  <w:lang w:val="en-US"/>
              </w:rPr>
              <w:t>I ANTIČKE GRČKE (PUJ 103)</w:t>
            </w:r>
          </w:p>
        </w:tc>
        <w:tc>
          <w:tcPr>
            <w:tcW w:w="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F72F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ECTS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AF46" w14:textId="77777777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20"/>
                <w:szCs w:val="20"/>
              </w:rPr>
              <w:t>8</w:t>
            </w:r>
          </w:p>
        </w:tc>
      </w:tr>
      <w:tr w:rsidR="00415D4D" w14:paraId="1EB03920" w14:textId="77777777" w:rsidTr="005B5DE2">
        <w:trPr>
          <w:trHeight w:val="27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A930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</w:rPr>
              <w:t>Naziv studija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64E3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20"/>
                <w:szCs w:val="20"/>
                <w:lang w:val="en-US"/>
              </w:rPr>
              <w:t>Preddiplomski jednopredmetni sveučilišni studij povijesti umjetnosti</w:t>
            </w:r>
          </w:p>
        </w:tc>
      </w:tr>
      <w:tr w:rsidR="00415D4D" w14:paraId="5ECD9FEB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C403D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Razina studija</w:t>
            </w:r>
          </w:p>
        </w:tc>
        <w:tc>
          <w:tcPr>
            <w:tcW w:w="1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462B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preddiplomski </w:t>
            </w:r>
          </w:p>
        </w:tc>
        <w:tc>
          <w:tcPr>
            <w:tcW w:w="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A993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diplomski</w:t>
            </w:r>
          </w:p>
        </w:tc>
        <w:tc>
          <w:tcPr>
            <w:tcW w:w="1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50F5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integrirani</w:t>
            </w:r>
          </w:p>
        </w:tc>
        <w:tc>
          <w:tcPr>
            <w:tcW w:w="2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97B3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poslijediplomski</w:t>
            </w:r>
          </w:p>
        </w:tc>
      </w:tr>
      <w:tr w:rsidR="00415D4D" w14:paraId="2CADF923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D7CF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Godina studija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E71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1.</w:t>
            </w:r>
          </w:p>
        </w:tc>
        <w:tc>
          <w:tcPr>
            <w:tcW w:w="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E406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2.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89A76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3.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A8A5F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4.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B0866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5.</w:t>
            </w:r>
          </w:p>
        </w:tc>
      </w:tr>
      <w:tr w:rsidR="00415D4D" w14:paraId="3FE07B76" w14:textId="77777777" w:rsidTr="005B5DE2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B8384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Semestar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2396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zimski</w:t>
            </w:r>
          </w:p>
          <w:p w14:paraId="572F1A04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ljetni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5F447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I.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260E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II.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5ADE5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III.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CF69E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IV.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DEFBA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294BB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VI.</w:t>
            </w:r>
          </w:p>
        </w:tc>
      </w:tr>
      <w:tr w:rsidR="00415D4D" w14:paraId="5E6834EB" w14:textId="77777777" w:rsidTr="005B5DE2">
        <w:trPr>
          <w:trHeight w:val="67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3A2E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Status kolegija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C829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obvezni kolegij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9160" w14:textId="77777777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izborni kolegij</w:t>
            </w:r>
          </w:p>
        </w:tc>
        <w:tc>
          <w:tcPr>
            <w:tcW w:w="2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A10D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45FB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Bold" w:hAnsi="Merriweather Bold"/>
                <w:sz w:val="17"/>
                <w:szCs w:val="17"/>
              </w:rPr>
              <w:t>Nastavničke kompetencije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8F35B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DA</w:t>
            </w:r>
          </w:p>
          <w:p w14:paraId="323CB7E9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 xml:space="preserve"> NE</w:t>
            </w:r>
          </w:p>
        </w:tc>
      </w:tr>
      <w:tr w:rsidR="00415D4D" w14:paraId="0B7B05F8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2FBF4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 xml:space="preserve">Opterećenje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9EA6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</w:rPr>
              <w:t>30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2C6E" w14:textId="77777777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P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67FA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</w:rPr>
              <w:t>30</w:t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D0F1" w14:textId="77777777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S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6F57" w14:textId="77777777" w:rsidR="00415D4D" w:rsidRDefault="00415D4D"/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2283" w14:textId="77777777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V</w:t>
            </w:r>
          </w:p>
        </w:tc>
        <w:tc>
          <w:tcPr>
            <w:tcW w:w="3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9E77C" w14:textId="77777777" w:rsidR="00415D4D" w:rsidRDefault="00000000">
            <w:pPr>
              <w:pStyle w:val="Tijelo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Mrežne stranice kolegija</w:t>
            </w:r>
          </w:p>
        </w:tc>
        <w:tc>
          <w:tcPr>
            <w:tcW w:w="1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6F77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 xml:space="preserve"> DA </w:t>
            </w: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 xml:space="preserve"> NE</w:t>
            </w:r>
          </w:p>
        </w:tc>
      </w:tr>
      <w:tr w:rsidR="00415D4D" w14:paraId="2815E409" w14:textId="77777777" w:rsidTr="005B5DE2">
        <w:trPr>
          <w:trHeight w:val="6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B77D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Mjesto i vrijeme izvođenja nastave</w:t>
            </w: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912B3" w14:textId="77777777" w:rsidR="005B5DE2" w:rsidRDefault="00000000" w:rsidP="005B5DE2">
            <w:pPr>
              <w:pStyle w:val="Tijelo"/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dvorana 113;</w:t>
            </w:r>
            <w:r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  <w:br/>
            </w:r>
            <w:r w:rsidR="005B5DE2">
              <w:rPr>
                <w:rFonts w:ascii="Merriweather Regular" w:hAnsi="Merriweather Regular"/>
                <w:sz w:val="18"/>
                <w:szCs w:val="18"/>
                <w:lang w:val="hr-HR"/>
              </w:rPr>
              <w:t>četvrtkom</w:t>
            </w:r>
            <w:r w:rsidR="005B5DE2">
              <w:rPr>
                <w:rFonts w:ascii="Merriweather Regular" w:hAnsi="Merriweather Regular"/>
                <w:sz w:val="18"/>
                <w:szCs w:val="18"/>
              </w:rPr>
              <w:t>, 1</w:t>
            </w:r>
            <w:r w:rsidR="005B5DE2"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 w:rsidR="005B5DE2">
              <w:rPr>
                <w:rFonts w:ascii="Merriweather Regular" w:hAnsi="Merriweather Regular"/>
                <w:sz w:val="18"/>
                <w:szCs w:val="18"/>
              </w:rPr>
              <w:t>-1</w:t>
            </w:r>
            <w:r w:rsidR="005B5DE2">
              <w:rPr>
                <w:rFonts w:ascii="Merriweather Regular" w:hAnsi="Merriweather Regular"/>
                <w:sz w:val="18"/>
                <w:szCs w:val="18"/>
                <w:lang w:val="hr-HR"/>
              </w:rPr>
              <w:t>6</w:t>
            </w:r>
            <w:r w:rsidR="005B5DE2">
              <w:rPr>
                <w:rFonts w:ascii="Merriweather Regular" w:hAnsi="Merriweather Regular"/>
                <w:sz w:val="18"/>
                <w:szCs w:val="18"/>
              </w:rPr>
              <w:t xml:space="preserve"> sati (P)</w:t>
            </w:r>
          </w:p>
          <w:p w14:paraId="6188A07E" w14:textId="745479BA" w:rsidR="00415D4D" w:rsidRDefault="005B5DE2" w:rsidP="005B5DE2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četvrtkom, 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1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2</w:t>
            </w:r>
            <w:r>
              <w:rPr>
                <w:rFonts w:ascii="Merriweather Regular" w:hAnsi="Merriweather Regular"/>
                <w:sz w:val="18"/>
                <w:szCs w:val="18"/>
              </w:rPr>
              <w:t>-1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sati (S)</w:t>
            </w:r>
          </w:p>
        </w:tc>
        <w:tc>
          <w:tcPr>
            <w:tcW w:w="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1FC95" w14:textId="77777777" w:rsidR="00415D4D" w:rsidRDefault="00000000">
            <w:pPr>
              <w:pStyle w:val="Tijelo"/>
              <w:spacing w:before="20" w:after="20"/>
              <w:jc w:val="center"/>
            </w:pPr>
            <w:r>
              <w:rPr>
                <w:rFonts w:ascii="Merriweather Bold" w:hAnsi="Merriweather Bold"/>
                <w:sz w:val="18"/>
                <w:szCs w:val="18"/>
              </w:rPr>
              <w:t>Jezik/jezici na kojima se izvodi kolegij</w:t>
            </w:r>
          </w:p>
        </w:tc>
        <w:tc>
          <w:tcPr>
            <w:tcW w:w="2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3AECF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hrvatski</w:t>
            </w:r>
          </w:p>
        </w:tc>
      </w:tr>
      <w:tr w:rsidR="00415D4D" w14:paraId="63DEDC7B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A06E2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Početak nastave</w:t>
            </w:r>
          </w:p>
        </w:tc>
        <w:tc>
          <w:tcPr>
            <w:tcW w:w="25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063C" w14:textId="73715D08" w:rsidR="00415D4D" w:rsidRDefault="005B5DE2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5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. 10. 202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3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  <w:tc>
          <w:tcPr>
            <w:tcW w:w="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08A2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Završetak nastave</w:t>
            </w:r>
          </w:p>
        </w:tc>
        <w:tc>
          <w:tcPr>
            <w:tcW w:w="2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0AB7" w14:textId="430C34C7" w:rsidR="00415D4D" w:rsidRDefault="005B5DE2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25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. 1. 202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4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</w:tc>
      </w:tr>
      <w:tr w:rsidR="00415D4D" w14:paraId="3984553E" w14:textId="77777777" w:rsidTr="005B5DE2">
        <w:trPr>
          <w:trHeight w:val="45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37E4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Preduvjeti za upis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248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upisan studij povijesti umjetnosti</w:t>
            </w:r>
          </w:p>
        </w:tc>
      </w:tr>
      <w:tr w:rsidR="00415D4D" w14:paraId="7E3A5F97" w14:textId="77777777">
        <w:trPr>
          <w:trHeight w:val="230"/>
          <w:jc w:val="center"/>
        </w:trPr>
        <w:tc>
          <w:tcPr>
            <w:tcW w:w="9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EB37" w14:textId="77777777" w:rsidR="00415D4D" w:rsidRDefault="00415D4D"/>
        </w:tc>
      </w:tr>
      <w:tr w:rsidR="00415D4D" w14:paraId="42D27ED8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100E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Nositelj kolegija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A7A6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5B5DE2" w14:paraId="6194692A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01C2" w14:textId="77777777" w:rsidR="005B5DE2" w:rsidRDefault="005B5DE2" w:rsidP="005B5DE2">
            <w:pPr>
              <w:pStyle w:val="Tijelo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E-mail</w:t>
            </w:r>
          </w:p>
        </w:tc>
        <w:tc>
          <w:tcPr>
            <w:tcW w:w="37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5286D" w14:textId="77777777" w:rsidR="005B5DE2" w:rsidRDefault="005B5DE2" w:rsidP="005B5DE2">
            <w:pPr>
              <w:pStyle w:val="Tijelo"/>
              <w:tabs>
                <w:tab w:val="left" w:pos="1218"/>
              </w:tabs>
              <w:spacing w:before="20" w:after="20"/>
            </w:pPr>
            <w:hyperlink r:id="rId7" w:history="1">
              <w:r>
                <w:rPr>
                  <w:rStyle w:val="Hyperlink0"/>
                  <w:rFonts w:ascii="Merriweather Regular" w:hAnsi="Merriweather Regular"/>
                  <w:sz w:val="18"/>
                  <w:szCs w:val="18"/>
                </w:rPr>
                <w:t>mezornija@unizd.hr</w:t>
              </w:r>
            </w:hyperlink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92E0" w14:textId="77777777" w:rsidR="005B5DE2" w:rsidRDefault="005B5DE2" w:rsidP="005B5DE2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Konzultacije</w:t>
            </w:r>
          </w:p>
        </w:tc>
        <w:tc>
          <w:tcPr>
            <w:tcW w:w="2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B5478" w14:textId="1B4D4353" w:rsidR="005B5DE2" w:rsidRDefault="005B5DE2" w:rsidP="005B5DE2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na webu</w:t>
            </w:r>
          </w:p>
        </w:tc>
      </w:tr>
      <w:tr w:rsidR="00415D4D" w14:paraId="43087D59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6DD7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Izvođač kolegija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99511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doc. dr. sc. Meri Zornija</w:t>
            </w:r>
          </w:p>
        </w:tc>
      </w:tr>
      <w:tr w:rsidR="00415D4D" w14:paraId="1DAA9486" w14:textId="77777777" w:rsidTr="005B5DE2">
        <w:trPr>
          <w:trHeight w:val="45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A6CF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Suradnici na kolegiju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5271F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Nikola Zmijarević, mag. hist. art.</w:t>
            </w:r>
          </w:p>
        </w:tc>
      </w:tr>
      <w:tr w:rsidR="005B5DE2" w14:paraId="626E5037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9E5E" w14:textId="77777777" w:rsidR="005B5DE2" w:rsidRDefault="005B5DE2" w:rsidP="005B5DE2">
            <w:pPr>
              <w:pStyle w:val="Tijelo"/>
              <w:spacing w:before="20" w:after="20"/>
              <w:jc w:val="right"/>
            </w:pPr>
            <w:r>
              <w:rPr>
                <w:rFonts w:ascii="Merriweather Bold" w:hAnsi="Merriweather Bold"/>
                <w:sz w:val="18"/>
                <w:szCs w:val="18"/>
              </w:rPr>
              <w:t>E-mail</w:t>
            </w:r>
          </w:p>
        </w:tc>
        <w:tc>
          <w:tcPr>
            <w:tcW w:w="37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43C7" w14:textId="77777777" w:rsidR="005B5DE2" w:rsidRDefault="005B5DE2" w:rsidP="005B5DE2">
            <w:pPr>
              <w:pStyle w:val="Tijelo"/>
              <w:tabs>
                <w:tab w:val="left" w:pos="1218"/>
              </w:tabs>
              <w:spacing w:before="20" w:after="20"/>
            </w:pPr>
            <w:hyperlink r:id="rId8" w:history="1">
              <w:r>
                <w:rPr>
                  <w:rStyle w:val="Hyperlink0"/>
                  <w:rFonts w:ascii="Merriweather Regular" w:hAnsi="Merriweather Regular"/>
                  <w:sz w:val="18"/>
                  <w:szCs w:val="18"/>
                </w:rPr>
                <w:t>nzmijarev@gmail.com</w:t>
              </w:r>
            </w:hyperlink>
            <w:r>
              <w:rPr>
                <w:rFonts w:ascii="Merriweather Regular" w:hAnsi="Merriweather Regular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1C01" w14:textId="77777777" w:rsidR="005B5DE2" w:rsidRDefault="005B5DE2" w:rsidP="005B5DE2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Konzultacije</w:t>
            </w:r>
          </w:p>
        </w:tc>
        <w:tc>
          <w:tcPr>
            <w:tcW w:w="2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8562A" w14:textId="2690C4A7" w:rsidR="005B5DE2" w:rsidRDefault="005B5DE2" w:rsidP="005B5DE2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</w:t>
            </w:r>
            <w:r>
              <w:rPr>
                <w:rFonts w:ascii="Merriweather Regular" w:hAnsi="Merriweather Regular"/>
                <w:sz w:val="18"/>
                <w:szCs w:val="18"/>
                <w:lang w:val="hr-HR"/>
              </w:rPr>
              <w:t>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na webu</w:t>
            </w:r>
          </w:p>
        </w:tc>
      </w:tr>
      <w:tr w:rsidR="00415D4D" w14:paraId="7D00940D" w14:textId="77777777">
        <w:trPr>
          <w:trHeight w:val="230"/>
          <w:jc w:val="center"/>
        </w:trPr>
        <w:tc>
          <w:tcPr>
            <w:tcW w:w="9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2858" w14:textId="77777777" w:rsidR="00415D4D" w:rsidRDefault="00415D4D"/>
        </w:tc>
      </w:tr>
      <w:tr w:rsidR="00415D4D" w14:paraId="1097B1F9" w14:textId="77777777" w:rsidTr="005B5DE2">
        <w:trPr>
          <w:trHeight w:val="450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BFFE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Vrste izvođenja nastave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E441F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predavanja</w:t>
            </w:r>
          </w:p>
        </w:tc>
        <w:tc>
          <w:tcPr>
            <w:tcW w:w="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32B9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seminari i radionice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EDEC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vježbe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4CCE9" w14:textId="68E990A9" w:rsidR="00415D4D" w:rsidRDefault="005B5DE2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 w:rsidR="00000000">
              <w:rPr>
                <w:rFonts w:ascii="Merriweather Regular" w:hAnsi="Merriweather Regula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D9F6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terenska nastava</w:t>
            </w:r>
          </w:p>
        </w:tc>
      </w:tr>
      <w:tr w:rsidR="00415D4D" w14:paraId="57608A5B" w14:textId="77777777" w:rsidTr="005B5DE2">
        <w:trPr>
          <w:trHeight w:val="45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35DD3" w14:textId="77777777" w:rsidR="00415D4D" w:rsidRDefault="00415D4D"/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31C40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samostalni zadaci</w:t>
            </w:r>
          </w:p>
        </w:tc>
        <w:tc>
          <w:tcPr>
            <w:tcW w:w="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B0B9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multimedija i mreža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6B3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laboratorij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D1E2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mentorski rad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AC412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415D4D" w14:paraId="0F24B297" w14:textId="77777777" w:rsidTr="005B5DE2">
        <w:trPr>
          <w:trHeight w:val="2730"/>
          <w:jc w:val="center"/>
        </w:trPr>
        <w:tc>
          <w:tcPr>
            <w:tcW w:w="3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9828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Ishodi učenja kolegija</w:t>
            </w:r>
          </w:p>
        </w:tc>
        <w:tc>
          <w:tcPr>
            <w:tcW w:w="593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1FADE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>- Kriti</w:t>
            </w:r>
            <w:r>
              <w:rPr>
                <w:rFonts w:ascii="Merriweather Regular" w:hAnsi="Merriweather Regular"/>
                <w:sz w:val="18"/>
                <w:szCs w:val="18"/>
              </w:rPr>
              <w:t>čko razumijevanje važnih fenomena  i prepoznavanje temeljnih djela likovnih umjetnosti i arhitekture;</w:t>
            </w:r>
          </w:p>
          <w:p w14:paraId="7361E34C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Identificiranje temeljnih karakteristika stila razdoblja i njihovo komentiranje putem korištenja ilustrativnog materijala;</w:t>
            </w:r>
          </w:p>
          <w:p w14:paraId="0D59D3D9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Klasificiranje građe kolegija u jasne opisne kategorije definirane stilom i kronologijom;</w:t>
            </w:r>
          </w:p>
          <w:p w14:paraId="4A20DB69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Analiziranje i kritičko prosuđivanje likovnih djela i arhitekture razdoblja uz primjenu relevantnih znanja i vještina  paralelno stjecanih na kolegijima prve godine studija;</w:t>
            </w:r>
          </w:p>
          <w:p w14:paraId="698E321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- Osposobljavanje za samostalnu pripremu i prezentiranje teme na pismeni i usmeni način prema postulatima povijesnoumjetničke  metodologije.  </w:t>
            </w:r>
          </w:p>
        </w:tc>
      </w:tr>
      <w:tr w:rsidR="00415D4D" w14:paraId="43B51E02" w14:textId="77777777" w:rsidTr="005B5DE2">
        <w:trPr>
          <w:trHeight w:val="450"/>
          <w:jc w:val="center"/>
        </w:trPr>
        <w:tc>
          <w:tcPr>
            <w:tcW w:w="3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059A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Ishodi učenja na razini programa</w:t>
            </w:r>
          </w:p>
        </w:tc>
        <w:tc>
          <w:tcPr>
            <w:tcW w:w="593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E5CE3" w14:textId="12228387" w:rsidR="005B5DE2" w:rsidRPr="005B5DE2" w:rsidRDefault="005B5DE2" w:rsidP="005B5DE2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hAnsi="Merriweather Regular"/>
                <w:sz w:val="18"/>
                <w:szCs w:val="18"/>
                <w:lang w:val="de-DE"/>
              </w:rPr>
            </w:pPr>
            <w:r w:rsidRPr="005B5DE2">
              <w:rPr>
                <w:rFonts w:ascii="Merriweather Regular" w:hAnsi="Merriweather Regular"/>
                <w:sz w:val="18"/>
                <w:szCs w:val="18"/>
                <w:lang w:val="de-DE"/>
              </w:rPr>
              <w:t>-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 xml:space="preserve"> Z</w:t>
            </w:r>
            <w:r w:rsidRPr="005B5DE2">
              <w:rPr>
                <w:rFonts w:ascii="Merriweather Regular" w:hAnsi="Merriweather Regular"/>
                <w:sz w:val="18"/>
                <w:szCs w:val="18"/>
                <w:lang w:val="de-DE"/>
              </w:rPr>
              <w:t>nati prepoznati najznačajnije umjetnike i djela te razumjeti značajke i razvoj stilskih razdoblja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>;</w:t>
            </w:r>
          </w:p>
          <w:p w14:paraId="7FB7A801" w14:textId="7CA300A1" w:rsidR="00415D4D" w:rsidRPr="005B5DE2" w:rsidRDefault="005B5DE2" w:rsidP="005B5DE2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hAnsi="Merriweather Regular"/>
                <w:sz w:val="18"/>
                <w:szCs w:val="18"/>
                <w:lang w:val="de-DE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>- K</w:t>
            </w:r>
            <w:r w:rsidRPr="005B5DE2">
              <w:rPr>
                <w:rFonts w:ascii="Merriweather Regular" w:hAnsi="Merriweather Regular"/>
                <w:sz w:val="18"/>
                <w:szCs w:val="18"/>
                <w:lang w:val="de-DE"/>
              </w:rPr>
              <w:t>ritički definirati kontekst nastanka umjetničkih djela i pojava te prepoznati i provesti analogije, sličnosti i razlike među pojedinim umjetninama i uklopiti ih u određeni vremenski, društveni i kulturni kontekst</w:t>
            </w:r>
            <w:r>
              <w:rPr>
                <w:rFonts w:ascii="Merriweather Regular" w:hAnsi="Merriweather Regular"/>
                <w:sz w:val="18"/>
                <w:szCs w:val="18"/>
                <w:lang w:val="de-DE"/>
              </w:rPr>
              <w:t>.</w:t>
            </w:r>
          </w:p>
        </w:tc>
      </w:tr>
      <w:tr w:rsidR="00415D4D" w14:paraId="22E27FA1" w14:textId="77777777">
        <w:trPr>
          <w:trHeight w:val="230"/>
          <w:jc w:val="center"/>
        </w:trPr>
        <w:tc>
          <w:tcPr>
            <w:tcW w:w="906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FF15" w14:textId="77777777" w:rsidR="00415D4D" w:rsidRDefault="00415D4D"/>
        </w:tc>
      </w:tr>
      <w:tr w:rsidR="00415D4D" w14:paraId="43317002" w14:textId="77777777" w:rsidTr="005B5DE2">
        <w:trPr>
          <w:trHeight w:val="410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0366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Načini praćenja studenata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5DEF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pohađanje nastave</w:t>
            </w:r>
          </w:p>
        </w:tc>
        <w:tc>
          <w:tcPr>
            <w:tcW w:w="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279A9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priprema za nastavu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0816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  <w:lang w:val="it-IT"/>
              </w:rPr>
              <w:t xml:space="preserve"> doma</w:t>
            </w:r>
            <w:r>
              <w:rPr>
                <w:rFonts w:ascii="Merriweather Regular" w:hAnsi="Merriweather Regular"/>
                <w:sz w:val="16"/>
                <w:szCs w:val="16"/>
              </w:rPr>
              <w:t>će zadaće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F69A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5E25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istraživanje</w:t>
            </w:r>
          </w:p>
        </w:tc>
      </w:tr>
      <w:tr w:rsidR="00415D4D" w14:paraId="18B1F261" w14:textId="77777777" w:rsidTr="005B5DE2">
        <w:trPr>
          <w:trHeight w:val="57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A2C9E7" w14:textId="77777777" w:rsidR="00415D4D" w:rsidRDefault="00415D4D"/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8803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praktični rad</w:t>
            </w:r>
          </w:p>
        </w:tc>
        <w:tc>
          <w:tcPr>
            <w:tcW w:w="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B2A33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</w:t>
            </w:r>
            <w:r>
              <w:rPr>
                <w:rFonts w:ascii="Merriweather Regular" w:hAnsi="Merriweather Regular"/>
                <w:sz w:val="15"/>
                <w:szCs w:val="15"/>
              </w:rPr>
              <w:t>eksperimentalni rad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EC22A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izlaganje</w:t>
            </w:r>
          </w:p>
        </w:tc>
        <w:tc>
          <w:tcPr>
            <w:tcW w:w="1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BA4B7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projekt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EA0E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  <w:lang w:val="it-IT"/>
              </w:rPr>
              <w:t xml:space="preserve"> seminar</w:t>
            </w:r>
          </w:p>
        </w:tc>
      </w:tr>
      <w:tr w:rsidR="00415D4D" w14:paraId="71E04E57" w14:textId="77777777" w:rsidTr="005B5DE2">
        <w:trPr>
          <w:trHeight w:val="21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AC3E2A" w14:textId="77777777" w:rsidR="00415D4D" w:rsidRDefault="00415D4D"/>
        </w:tc>
        <w:tc>
          <w:tcPr>
            <w:tcW w:w="1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9C3AC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☒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kolokvij(i)</w:t>
            </w:r>
          </w:p>
        </w:tc>
        <w:tc>
          <w:tcPr>
            <w:tcW w:w="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4856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pismeni ispit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E483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usmeni ispit</w:t>
            </w:r>
          </w:p>
        </w:tc>
        <w:tc>
          <w:tcPr>
            <w:tcW w:w="30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1477C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hAnsi="MS Gothic"/>
                <w:sz w:val="16"/>
                <w:szCs w:val="16"/>
              </w:rPr>
              <w:t>☐</w:t>
            </w:r>
            <w:r>
              <w:rPr>
                <w:rFonts w:ascii="Merriweather Regular" w:hAnsi="Merriweather Regular"/>
                <w:sz w:val="16"/>
                <w:szCs w:val="16"/>
              </w:rPr>
              <w:t xml:space="preserve"> ostalo:</w:t>
            </w:r>
          </w:p>
        </w:tc>
      </w:tr>
      <w:tr w:rsidR="00415D4D" w14:paraId="1B451C43" w14:textId="77777777" w:rsidTr="005B5DE2">
        <w:trPr>
          <w:trHeight w:val="67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47D5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Uvjeti pristupanja ispitu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8356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Studenti su du</w:t>
            </w:r>
            <w:r>
              <w:rPr>
                <w:rFonts w:ascii="Merriweather Regular" w:hAnsi="Merriweather Regular"/>
                <w:sz w:val="18"/>
                <w:szCs w:val="18"/>
              </w:rPr>
              <w:t>žni odslušati najmanje 70% predavanja, te sudjelovati u radu i diskusiji na najmanje 70% seminara. Takođ</w:t>
            </w:r>
            <w:r>
              <w:rPr>
                <w:rFonts w:ascii="Merriweather Regular" w:hAnsi="Merriweather Regular"/>
                <w:sz w:val="18"/>
                <w:szCs w:val="18"/>
                <w:lang w:val="da-DK"/>
              </w:rPr>
              <w:t>er, du</w:t>
            </w:r>
            <w:r>
              <w:rPr>
                <w:rFonts w:ascii="Merriweather Regular" w:hAnsi="Merriweather Regular"/>
                <w:sz w:val="18"/>
                <w:szCs w:val="18"/>
              </w:rPr>
              <w:t>žni su izraditi seminarski rad u pismenom obliku, te ga prezentirati u vidu usmenog izlaganja (najmanje 20 minuta trajanja).</w:t>
            </w:r>
          </w:p>
        </w:tc>
      </w:tr>
      <w:tr w:rsidR="00415D4D" w14:paraId="447BB166" w14:textId="77777777" w:rsidTr="005B5DE2">
        <w:trPr>
          <w:trHeight w:val="23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FBA7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Ispitni rokovi</w:t>
            </w:r>
          </w:p>
        </w:tc>
        <w:tc>
          <w:tcPr>
            <w:tcW w:w="2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00D3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zimski ispitni rok </w:t>
            </w:r>
          </w:p>
        </w:tc>
        <w:tc>
          <w:tcPr>
            <w:tcW w:w="2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4593F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ljetni ispitni rok</w:t>
            </w:r>
          </w:p>
        </w:tc>
        <w:tc>
          <w:tcPr>
            <w:tcW w:w="1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A160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jesenski ispitni rok</w:t>
            </w:r>
          </w:p>
        </w:tc>
      </w:tr>
      <w:tr w:rsidR="00415D4D" w14:paraId="6D5444CE" w14:textId="77777777" w:rsidTr="005B5DE2">
        <w:trPr>
          <w:trHeight w:val="45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6182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Termini ispitnih rokova</w:t>
            </w:r>
          </w:p>
        </w:tc>
        <w:tc>
          <w:tcPr>
            <w:tcW w:w="29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68EB2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objavljeni na webu</w:t>
            </w:r>
          </w:p>
        </w:tc>
        <w:tc>
          <w:tcPr>
            <w:tcW w:w="2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0DAC" w14:textId="77777777" w:rsidR="00415D4D" w:rsidRDefault="00415D4D"/>
        </w:tc>
        <w:tc>
          <w:tcPr>
            <w:tcW w:w="1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2C25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bit će objavljeni na webu</w:t>
            </w:r>
          </w:p>
        </w:tc>
      </w:tr>
      <w:tr w:rsidR="00415D4D" w14:paraId="0DEA14B3" w14:textId="77777777" w:rsidTr="005B5DE2">
        <w:trPr>
          <w:trHeight w:val="67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89F9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Opis kolegija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9E81A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Stjecanje temeljnih činjeničnih i teorijskih spoznaja o umjetnosti drevnih civilizacija Bliskog Istoka (Mezopotamija, Perzija), dinastijskog Egipta, egejskih civilizacija brončanog doba (Kikladi, Kreta, Mikena) te o umjetnosti antičke Grčke.</w:t>
            </w:r>
          </w:p>
        </w:tc>
      </w:tr>
      <w:tr w:rsidR="00415D4D" w14:paraId="3EFFA606" w14:textId="77777777" w:rsidTr="005B5DE2">
        <w:trPr>
          <w:trHeight w:val="1035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D60A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34A0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UMJETNOST DREVNIH CIVILIZACIJA BLISKOG ISTOKA</w:t>
            </w:r>
          </w:p>
          <w:p w14:paraId="2CF77C53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01.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Uvodni dio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: povijesne i društvene okolnosti razvoja umjetničkog izražavanja kod čovjeka; nastanak prvih prapovijesnih umjetničkih djela  </w:t>
            </w:r>
          </w:p>
          <w:p w14:paraId="2D693759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Mezopotamija - Sumersko-akadska država: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arhitektura - zigurati; pregled umjetničkih rukotvorina: figuralna plastika, skulptura, zlatarstvo u nalazištima (Uruk, Ur, Lagaš).</w:t>
            </w:r>
          </w:p>
          <w:p w14:paraId="387D2358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02.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Mezopotamija II. Asirsko carstvo: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arhitektura, kiparstvo, reljefna dekoracija; </w:t>
            </w:r>
          </w:p>
          <w:p w14:paraId="33C1A62C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Babilonsko carstvo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u doba Hamurabija i Nabukodonosora; </w:t>
            </w:r>
          </w:p>
          <w:p w14:paraId="2710B4D0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Perzijsko (Ahemenidsko) carstvo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arhitektura, kiparstvo, reljefi</w:t>
            </w:r>
          </w:p>
          <w:p w14:paraId="46F54656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UMJETNOST DINASTIJSKOG EGIPTA</w:t>
            </w:r>
          </w:p>
          <w:p w14:paraId="4A98229D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03. Uvod u egipatsku umjetnost: zemljopisni položaj, istraživanja, kronologija. </w:t>
            </w:r>
          </w:p>
          <w:p w14:paraId="4974C4EA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Umjetnost i arhitektura u doba Ujedinjenja, Stare i Srednje države</w:t>
            </w:r>
          </w:p>
          <w:p w14:paraId="1FB323B8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04.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Umjetnost i arhitektura u doba Nove države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- 18. dinastija</w:t>
            </w:r>
          </w:p>
          <w:p w14:paraId="366E1419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05. Umjetnost i arhitektura u doba Nove države - 19. i 20. dinastija; izabrani primjeri kasne egipatske umjetnosti</w:t>
            </w:r>
          </w:p>
          <w:p w14:paraId="3805DD26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  <w:lang w:val="de-DE"/>
              </w:rPr>
              <w:t>UMJETNOST EGEJSKIH CIVILIZACIJA BRON</w:t>
            </w:r>
            <w:r>
              <w:rPr>
                <w:rFonts w:ascii="Merriweather Bold" w:hAnsi="Merriweather Bold"/>
                <w:sz w:val="18"/>
                <w:szCs w:val="18"/>
              </w:rPr>
              <w:t>Č</w:t>
            </w:r>
            <w:r>
              <w:rPr>
                <w:rFonts w:ascii="Merriweather Bold" w:hAnsi="Merriweather Bold"/>
                <w:sz w:val="18"/>
                <w:szCs w:val="18"/>
                <w:lang w:val="it-IT"/>
              </w:rPr>
              <w:t>ANOG DOBA</w:t>
            </w:r>
          </w:p>
          <w:p w14:paraId="5401BB04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06. Prirodni i zemljopisni položaj Grčke i šireg prostora Egeje; povijest istraživanja i pregled otkrića najvažnijih lokaliteta.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Egejska kronologija: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podjela na kikladsko, kretsko i mikensko razdoblje.</w:t>
            </w:r>
          </w:p>
          <w:p w14:paraId="61707BD7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  <w:u w:val="single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Kikladska kultura</w:t>
            </w:r>
            <w:r>
              <w:rPr>
                <w:rFonts w:ascii="Merriweather Regular" w:hAnsi="Merriweather Regular"/>
                <w:sz w:val="18"/>
                <w:szCs w:val="18"/>
              </w:rPr>
              <w:t>: sitna figuralna plastika (kikladski idoli), zidno slikarstvo otoka There</w:t>
            </w:r>
          </w:p>
          <w:p w14:paraId="334BDCD2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Kretska (minojska) kultura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 gradova-palača (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pt-PT"/>
              </w:rPr>
              <w:t>Knossos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,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Phaistos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,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Haghia Triada</w:t>
            </w:r>
            <w:r>
              <w:rPr>
                <w:rFonts w:ascii="Merriweather Regular" w:hAnsi="Merriweather Regular"/>
                <w:sz w:val="18"/>
                <w:szCs w:val="18"/>
              </w:rPr>
              <w:t>) i</w:t>
            </w:r>
          </w:p>
          <w:p w14:paraId="0063257B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umjetnost (keramički stilovi, zidno slikarstvo)</w:t>
            </w:r>
          </w:p>
          <w:p w14:paraId="76A19435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07.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  <w:lang w:val="da-DK"/>
              </w:rPr>
              <w:t>Mikenska (heladska) kultura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 - mikenske kraljevske citadele, tipovi  grobnica: kraljevski grobni krugovi, tolosi; slikarstvo na vazama, zidno slikarstvo, zlatarski proizvodi (Mikena, Tirint i dr.)</w:t>
            </w:r>
          </w:p>
          <w:p w14:paraId="2FBF9BC2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UMJETNOST ANTIČKE GRČKE</w:t>
            </w:r>
          </w:p>
          <w:p w14:paraId="64C735EB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08.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Geometrijski i orijentalizirajuć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  <w:lang w:val="it-IT"/>
              </w:rPr>
              <w:t>i stil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arhitektura, slikarstvo na vazama.</w:t>
            </w:r>
          </w:p>
          <w:p w14:paraId="496C6D69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Podjela i kronologija arhajskog razdoblja</w:t>
            </w:r>
          </w:p>
          <w:p w14:paraId="5FAE2458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Grčko arhajsko slikarstvo na vazama</w:t>
            </w:r>
          </w:p>
          <w:p w14:paraId="36B51D95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09.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Grčka arhajska skulptura</w:t>
            </w:r>
            <w:r>
              <w:rPr>
                <w:rFonts w:ascii="Merriweather Regular" w:hAnsi="Merriweather Regular"/>
                <w:sz w:val="18"/>
                <w:szCs w:val="18"/>
              </w:rPr>
              <w:t>: kourosi i kore</w:t>
            </w:r>
          </w:p>
          <w:p w14:paraId="5D3CC042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Umjetnost Velike Grčke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</w:rPr>
              <w:t>(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Magna Graecia</w:t>
            </w:r>
            <w:r>
              <w:rPr>
                <w:rFonts w:ascii="Merriweather Regular" w:hAnsi="Merriweather Regular"/>
                <w:sz w:val="18"/>
                <w:szCs w:val="18"/>
              </w:rPr>
              <w:t>)</w:t>
            </w:r>
          </w:p>
          <w:p w14:paraId="7EA889BA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10.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Grčka arhajska arhitektura i arhitektonska skulptura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(Delfi)</w:t>
            </w:r>
          </w:p>
          <w:p w14:paraId="22B89809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11. Podjela i kronologija klasičnog doba</w:t>
            </w:r>
          </w:p>
          <w:p w14:paraId="1EAD67AA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Rano klasično doba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</w:rPr>
              <w:t>ili strogi stil: arhitektura (Olimpija) i kiparstvo (Miron)</w:t>
            </w:r>
          </w:p>
          <w:p w14:paraId="7D6EA8CA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12.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Zrelo klasično doba</w:t>
            </w:r>
            <w:r>
              <w:rPr>
                <w:rFonts w:ascii="Merriweather Regular" w:hAnsi="Merriweather Regular"/>
                <w:sz w:val="18"/>
                <w:szCs w:val="18"/>
              </w:rPr>
              <w:t>: Atenska akropola. Fidija i njegova škola, Poliklet</w:t>
            </w:r>
          </w:p>
          <w:p w14:paraId="194E4AE4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13. Ostala važ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na gr</w:t>
            </w:r>
            <w:r>
              <w:rPr>
                <w:rFonts w:ascii="Merriweather Regular" w:hAnsi="Merriweather Regular"/>
                <w:sz w:val="18"/>
                <w:szCs w:val="18"/>
              </w:rPr>
              <w:t>čka svetiš</w:t>
            </w:r>
            <w:r>
              <w:rPr>
                <w:rFonts w:ascii="Merriweather Regular" w:hAnsi="Merriweather Regular"/>
                <w:sz w:val="18"/>
                <w:szCs w:val="18"/>
                <w:lang w:val="nl-NL"/>
              </w:rPr>
              <w:t>ta (Eleuzina, Epidaur, Tegeja, Efez)</w:t>
            </w:r>
          </w:p>
          <w:p w14:paraId="6B9BC9E4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Kasno klasično doba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arhitektura, kiparstvo (lijepi stil): Praksitel, Skopas, Lizip</w:t>
            </w:r>
          </w:p>
          <w:p w14:paraId="529D3174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14. Grčka i svijet helenizma: podjela i kronologija helenizma </w:t>
            </w:r>
          </w:p>
          <w:p w14:paraId="737F1245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Umjetnost u doba Aleksandra Makedonskog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 xml:space="preserve"> (Pella, Vergina) </w:t>
            </w:r>
          </w:p>
          <w:p w14:paraId="6CECC6D1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Rani helenizam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(Mauzolej u Halikarnasu)</w:t>
            </w:r>
          </w:p>
          <w:p w14:paraId="5294338A" w14:textId="77777777" w:rsidR="00415D4D" w:rsidRDefault="00000000">
            <w:pPr>
              <w:pStyle w:val="Tijelo"/>
              <w:tabs>
                <w:tab w:val="left" w:pos="1218"/>
              </w:tabs>
              <w:spacing w:before="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15.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Srednji helenizam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(Pergamski žrtvenik, Pergamska i Rodska kiparska š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kola)</w:t>
            </w:r>
          </w:p>
          <w:p w14:paraId="1A8A1977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      </w:t>
            </w:r>
            <w:r>
              <w:rPr>
                <w:rFonts w:ascii="Merriweather Regular" w:hAnsi="Merriweather Regular"/>
                <w:sz w:val="18"/>
                <w:szCs w:val="18"/>
                <w:u w:val="single"/>
              </w:rPr>
              <w:t>Kasni helenizam</w:t>
            </w:r>
            <w:r>
              <w:rPr>
                <w:rFonts w:ascii="Merriweather Regular" w:hAnsi="Merriweather Regular"/>
                <w:sz w:val="18"/>
                <w:szCs w:val="18"/>
              </w:rPr>
              <w:t>: arhitektura i kiparstvo</w:t>
            </w:r>
          </w:p>
        </w:tc>
      </w:tr>
      <w:tr w:rsidR="00415D4D" w14:paraId="09124ED2" w14:textId="77777777" w:rsidTr="005B5DE2">
        <w:trPr>
          <w:trHeight w:val="231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0C11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Obvezna literatura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EADB" w14:textId="77777777" w:rsidR="00415D4D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Drevne civilizacije. Velike kulture svijeta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 (prir. F. Bourbon), Zagreb, 2009. (podnaslovi: Knos, Atena, Mikena, Paestum; Saqqara i Giza, Karnak, Luxor, Zapadna Teba, Nubijski hramovi, Abu Simbel, Philae; Babilon, Ur, Perzepolis)</w:t>
            </w:r>
          </w:p>
          <w:p w14:paraId="2AA67EA5" w14:textId="77777777" w:rsidR="00415D4D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Iščezle civilizacije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Zagreb, 2009. (podnaslovi: Saqqara, Ur, Knos, Mikena, Amarna, Niniva, Babilon, Perzepolis, Olimpija, Del)</w:t>
            </w:r>
          </w:p>
          <w:p w14:paraId="5055446D" w14:textId="77777777" w:rsidR="00415D4D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C. J. Du Ry,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Narodi drevnog Istoka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Rijeka, 1970.</w:t>
            </w:r>
          </w:p>
          <w:p w14:paraId="722EE42F" w14:textId="77777777" w:rsidR="00415D4D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W. Westendorf,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Drevni Egipat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Rijeka, 1969.</w:t>
            </w:r>
          </w:p>
          <w:p w14:paraId="0BF4D012" w14:textId="77777777" w:rsidR="00415D4D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Boardman,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Greek Art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2012.</w:t>
            </w:r>
          </w:p>
          <w:p w14:paraId="49DEF2B8" w14:textId="77777777" w:rsidR="00415D4D" w:rsidRDefault="00000000">
            <w:pPr>
              <w:pStyle w:val="Tijelo"/>
              <w:numPr>
                <w:ilvl w:val="0"/>
                <w:numId w:val="1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M. Barringer,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The art and archaeology of ancient Greece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Cambridge University Press, 2014.</w:t>
            </w:r>
          </w:p>
        </w:tc>
      </w:tr>
      <w:tr w:rsidR="00415D4D" w14:paraId="4BABDF61" w14:textId="77777777" w:rsidTr="005B5DE2">
        <w:trPr>
          <w:trHeight w:val="329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76D4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960C1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H. W. Janson/A. F. Janson,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Povijest umjetnosti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Varaždin, 2005. (str. 44-109, 110-223)</w:t>
            </w:r>
          </w:p>
          <w:p w14:paraId="2331BFBB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A. Siliotti,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Egipat: hramovi, ljudi i bogovi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Zagreb, 1999.</w:t>
            </w:r>
          </w:p>
          <w:p w14:paraId="469526D3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I. Uranić,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Stari Egipat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Zagreb, 2004.</w:t>
            </w:r>
          </w:p>
          <w:p w14:paraId="62FF47D7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Malek,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Egyptian art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Phaidon, 2011.</w:t>
            </w:r>
          </w:p>
          <w:p w14:paraId="7673DF1D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jc w:val="both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F. Durando,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Drevna Grčka, zora zapada,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 Zagreb, 1999.</w:t>
            </w:r>
          </w:p>
          <w:p w14:paraId="56435DD6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Boardman,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Greek Sculpture. The Archaic Period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1995.</w:t>
            </w:r>
          </w:p>
          <w:p w14:paraId="7173AFC8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Boardman,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Greek Sculpture. The Classical Period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1985.</w:t>
            </w:r>
          </w:p>
          <w:p w14:paraId="7E2B9213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J. Boardman,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Greek Sculpture. The Late Classical Period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1995.</w:t>
            </w:r>
          </w:p>
          <w:p w14:paraId="688FDE02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A. Juric,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Grčka - od mitova do antičkih spomenika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Rijeka, 2001. (str. 11-66, 139-216, 219-282, 324-387, 424-453, 480-488)</w:t>
            </w:r>
          </w:p>
          <w:p w14:paraId="7244DD59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R. R. R. Smith,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>Hellenistic Sculpture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, London, 1991.</w:t>
            </w:r>
          </w:p>
          <w:p w14:paraId="56EC8B61" w14:textId="77777777" w:rsidR="00415D4D" w:rsidRDefault="00000000">
            <w:pPr>
              <w:pStyle w:val="Tijelo"/>
              <w:numPr>
                <w:ilvl w:val="0"/>
                <w:numId w:val="2"/>
              </w:numPr>
              <w:spacing w:before="0" w:after="20"/>
              <w:rPr>
                <w:rFonts w:ascii="Merriweather Regular" w:hAnsi="Merriweather Regular"/>
                <w:sz w:val="18"/>
                <w:szCs w:val="18"/>
                <w:lang w:val="en-US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 xml:space="preserve">L. Burn, </w:t>
            </w:r>
            <w:r>
              <w:rPr>
                <w:rFonts w:ascii="Merriweather Bold" w:hAnsi="Merriweather Bold"/>
                <w:sz w:val="18"/>
                <w:szCs w:val="18"/>
                <w:lang w:val="en-US"/>
              </w:rPr>
              <w:t xml:space="preserve">Hellenistic Art from Alexander the Great to Augustus, 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Los Angeles, 2004.</w:t>
            </w:r>
          </w:p>
        </w:tc>
      </w:tr>
      <w:tr w:rsidR="00415D4D" w14:paraId="4CC556A3" w14:textId="77777777" w:rsidTr="005B5DE2">
        <w:trPr>
          <w:trHeight w:val="95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6F99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 xml:space="preserve">Mrežni izvori 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6EE8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  <w:u w:val="single"/>
              </w:rPr>
            </w:pPr>
            <w:hyperlink r:id="rId9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http://arthistoryresources.net/ARTHLinks.html</w:t>
              </w:r>
            </w:hyperlink>
          </w:p>
          <w:p w14:paraId="68E8FEB0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  <w:u w:val="single"/>
              </w:rPr>
            </w:pPr>
            <w:hyperlink r:id="rId10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https://www.ancient.eu/explore/8/</w:t>
              </w:r>
            </w:hyperlink>
          </w:p>
          <w:p w14:paraId="4D7FA3BE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  <w:u w:val="single"/>
              </w:rPr>
            </w:pPr>
            <w:hyperlink r:id="rId11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http://www.livius.org</w:t>
              </w:r>
            </w:hyperlink>
          </w:p>
          <w:p w14:paraId="34B988E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hyperlink r:id="rId12" w:history="1">
              <w:r>
                <w:rPr>
                  <w:rStyle w:val="Hyperlink1"/>
                  <w:rFonts w:ascii="Merriweather Regular" w:hAnsi="Merriweather Regular"/>
                  <w:sz w:val="18"/>
                  <w:szCs w:val="18"/>
                </w:rPr>
                <w:t>https://www.ancient-greece.org/index.html</w:t>
              </w:r>
            </w:hyperlink>
          </w:p>
        </w:tc>
      </w:tr>
      <w:tr w:rsidR="00415D4D" w14:paraId="12637CD2" w14:textId="77777777" w:rsidTr="005B5DE2">
        <w:trPr>
          <w:trHeight w:val="230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993D1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Provjera ishoda učenja (prema uputama AZVO)</w:t>
            </w:r>
          </w:p>
        </w:tc>
        <w:tc>
          <w:tcPr>
            <w:tcW w:w="584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824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 Regular" w:hAnsi="Merriweather Regular"/>
                <w:sz w:val="18"/>
                <w:szCs w:val="18"/>
              </w:rPr>
              <w:t>Samo završni ispit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D753" w14:textId="77777777" w:rsidR="00415D4D" w:rsidRDefault="00415D4D"/>
        </w:tc>
      </w:tr>
      <w:tr w:rsidR="00415D4D" w14:paraId="0ABB9A7D" w14:textId="77777777" w:rsidTr="005B5DE2">
        <w:trPr>
          <w:trHeight w:val="43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B84CD3" w14:textId="77777777" w:rsidR="00415D4D" w:rsidRDefault="00415D4D"/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7E788" w14:textId="77777777" w:rsidR="00415D4D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završni</w:t>
            </w:r>
          </w:p>
          <w:p w14:paraId="172A450B" w14:textId="77777777" w:rsidR="00415D4D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pismeni ispit</w:t>
            </w:r>
          </w:p>
        </w:tc>
        <w:tc>
          <w:tcPr>
            <w:tcW w:w="1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77B8E" w14:textId="77777777" w:rsidR="00415D4D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završni</w:t>
            </w:r>
          </w:p>
          <w:p w14:paraId="733BD824" w14:textId="77777777" w:rsidR="00415D4D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usmeni ispit</w:t>
            </w:r>
          </w:p>
        </w:tc>
        <w:tc>
          <w:tcPr>
            <w:tcW w:w="1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FC9F3" w14:textId="77777777" w:rsidR="00415D4D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4644" w14:textId="77777777" w:rsidR="00415D4D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praktični rad i završni ispit</w:t>
            </w:r>
          </w:p>
        </w:tc>
      </w:tr>
      <w:tr w:rsidR="00415D4D" w14:paraId="7F6FCCA7" w14:textId="77777777" w:rsidTr="005B5DE2">
        <w:trPr>
          <w:trHeight w:val="123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226395" w14:textId="77777777" w:rsidR="00415D4D" w:rsidRDefault="00415D4D"/>
        </w:tc>
        <w:tc>
          <w:tcPr>
            <w:tcW w:w="1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317A" w14:textId="77777777" w:rsidR="00415D4D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E1A2B" w14:textId="77777777" w:rsidR="00415D4D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BF68" w14:textId="77777777" w:rsidR="00415D4D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4FE1E62D" w14:textId="77777777" w:rsidR="00415D4D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rad</w:t>
            </w:r>
          </w:p>
        </w:tc>
        <w:tc>
          <w:tcPr>
            <w:tcW w:w="1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2DAE" w14:textId="77777777" w:rsidR="00415D4D" w:rsidRDefault="00000000">
            <w:pPr>
              <w:pStyle w:val="Tijelo"/>
              <w:widowControl w:val="0"/>
              <w:spacing w:before="20" w:after="20"/>
              <w:jc w:val="center"/>
              <w:rPr>
                <w:rFonts w:ascii="Merriweather Regular" w:eastAsia="Merriweather Regular" w:hAnsi="Merriweather Regular" w:cs="Merriweather Regular"/>
                <w:sz w:val="17"/>
                <w:szCs w:val="17"/>
              </w:rPr>
            </w:pPr>
            <w:r>
              <w:rPr>
                <w:rFonts w:ascii="MS Gothic" w:hAnsi="MS Gothic"/>
                <w:sz w:val="17"/>
                <w:szCs w:val="17"/>
              </w:rPr>
              <w:t>☒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seminarski</w:t>
            </w:r>
          </w:p>
          <w:p w14:paraId="740D442D" w14:textId="77777777" w:rsidR="00415D4D" w:rsidRDefault="00000000">
            <w:pPr>
              <w:pStyle w:val="Tijelo"/>
              <w:widowControl w:val="0"/>
              <w:spacing w:before="20" w:after="20"/>
              <w:jc w:val="center"/>
            </w:pPr>
            <w:r>
              <w:rPr>
                <w:rFonts w:ascii="Merriweather Regular" w:hAnsi="Merriweather Regular"/>
                <w:sz w:val="17"/>
                <w:szCs w:val="17"/>
              </w:rPr>
              <w:t>rad i završni ispit</w:t>
            </w:r>
          </w:p>
        </w:tc>
        <w:tc>
          <w:tcPr>
            <w:tcW w:w="1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D55A1" w14:textId="77777777" w:rsidR="00415D4D" w:rsidRDefault="00000000"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praktični rad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ACEE5" w14:textId="77777777" w:rsidR="00415D4D" w:rsidRDefault="00000000">
            <w:pPr>
              <w:pStyle w:val="Tijelo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hAnsi="MS Gothic"/>
                <w:sz w:val="17"/>
                <w:szCs w:val="17"/>
              </w:rPr>
              <w:t>☐</w:t>
            </w:r>
            <w:r>
              <w:rPr>
                <w:rFonts w:ascii="Merriweather Regular" w:hAnsi="Merriweather Regular"/>
                <w:sz w:val="17"/>
                <w:szCs w:val="17"/>
              </w:rPr>
              <w:t xml:space="preserve"> drugi oblici</w:t>
            </w:r>
          </w:p>
        </w:tc>
      </w:tr>
      <w:tr w:rsidR="00415D4D" w14:paraId="4BA84C39" w14:textId="77777777" w:rsidTr="005B5DE2">
        <w:trPr>
          <w:trHeight w:val="245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1BF9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Način formiranja završne ocjene (%)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2E31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Studenti tijekom semestra mogu pristupiti dvama kolokvijima koji će obuhvatiti dio građe kolegija, a održat će se u pismenom obliku s pitanjima koja zahtijevaju neš</w:t>
            </w:r>
            <w:r>
              <w:rPr>
                <w:rFonts w:ascii="Merriweather Regular" w:hAnsi="Merriweather Regular"/>
                <w:sz w:val="18"/>
                <w:szCs w:val="18"/>
                <w:lang w:val="en-US"/>
              </w:rPr>
              <w:t>to op</w:t>
            </w:r>
            <w:r>
              <w:rPr>
                <w:rFonts w:ascii="Merriweather Regular" w:hAnsi="Merriweather Regular"/>
                <w:sz w:val="18"/>
                <w:szCs w:val="18"/>
              </w:rPr>
              <w:t>širnije opisne odgovore. Uspješnim polaganjem s najmanje 60% bodova studenti se u potpunosti oslobađaju obveze polaganja tog dijela nastavne građe na završnom ispitu kolegija (ukoliko prihvaćaju postignuti rezultat). Izlazak na kolokvij nije obavezan.</w:t>
            </w:r>
          </w:p>
          <w:p w14:paraId="0E220F0E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Merriweather Regular" w:hAnsi="Merriweather Regular"/>
                <w:sz w:val="18"/>
                <w:szCs w:val="18"/>
              </w:rPr>
              <w:t>Temeljni način provjere znanja predstavlja završni ispit koji se izvodi u pismenom i usmenom obliku. Na pismenom ispitu potrebno je postići najmanje 60% od ukupnog postotka bodova kako bi se pristupilo usmenom dijelu ispita. Usmeni ispit služi u svrhu formiranja konačne ocjene prema omjeru: 33% prvi kolokvij, 33% drugi kolokvij, 33% završni ispit.</w:t>
            </w:r>
          </w:p>
        </w:tc>
      </w:tr>
      <w:tr w:rsidR="00415D4D" w14:paraId="307150B2" w14:textId="77777777" w:rsidTr="005B5DE2">
        <w:trPr>
          <w:trHeight w:val="230"/>
          <w:jc w:val="center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1322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7AC7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6"/>
                <w:szCs w:val="16"/>
              </w:rPr>
              <w:t>manje od 60 %</w:t>
            </w:r>
          </w:p>
        </w:tc>
        <w:tc>
          <w:tcPr>
            <w:tcW w:w="60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FEBAF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nedovoljan (1)</w:t>
            </w:r>
          </w:p>
        </w:tc>
      </w:tr>
      <w:tr w:rsidR="00415D4D" w14:paraId="1D80C931" w14:textId="77777777" w:rsidTr="005B5DE2">
        <w:trPr>
          <w:trHeight w:val="23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19861" w14:textId="77777777" w:rsidR="00415D4D" w:rsidRDefault="00415D4D"/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814E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60-70%</w:t>
            </w:r>
          </w:p>
        </w:tc>
        <w:tc>
          <w:tcPr>
            <w:tcW w:w="60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4C6C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dovoljan (2)</w:t>
            </w:r>
          </w:p>
        </w:tc>
      </w:tr>
      <w:tr w:rsidR="00415D4D" w14:paraId="677E17EF" w14:textId="77777777" w:rsidTr="005B5DE2">
        <w:trPr>
          <w:trHeight w:val="23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B31D3D" w14:textId="77777777" w:rsidR="00415D4D" w:rsidRDefault="00415D4D"/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58F1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70-80 %</w:t>
            </w:r>
          </w:p>
        </w:tc>
        <w:tc>
          <w:tcPr>
            <w:tcW w:w="60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F4EC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dobar (3)</w:t>
            </w:r>
          </w:p>
        </w:tc>
      </w:tr>
      <w:tr w:rsidR="00415D4D" w14:paraId="5F248AD5" w14:textId="77777777" w:rsidTr="005B5DE2">
        <w:trPr>
          <w:trHeight w:val="23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691E63" w14:textId="77777777" w:rsidR="00415D4D" w:rsidRDefault="00415D4D"/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FB1C1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80-90 %</w:t>
            </w:r>
          </w:p>
        </w:tc>
        <w:tc>
          <w:tcPr>
            <w:tcW w:w="60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3014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vrlo dobar (4)</w:t>
            </w:r>
          </w:p>
        </w:tc>
      </w:tr>
      <w:tr w:rsidR="00415D4D" w14:paraId="638202F9" w14:textId="77777777" w:rsidTr="005B5DE2">
        <w:trPr>
          <w:trHeight w:val="230"/>
          <w:jc w:val="center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EEF442" w14:textId="77777777" w:rsidR="00415D4D" w:rsidRDefault="00415D4D"/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D4A83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90-100 %</w:t>
            </w:r>
          </w:p>
        </w:tc>
        <w:tc>
          <w:tcPr>
            <w:tcW w:w="60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068D2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erriweather Regular" w:hAnsi="Merriweather Regular"/>
                <w:sz w:val="18"/>
                <w:szCs w:val="18"/>
              </w:rPr>
              <w:t>% izvrstan (5)</w:t>
            </w:r>
          </w:p>
        </w:tc>
      </w:tr>
      <w:tr w:rsidR="00415D4D" w14:paraId="6940C7DF" w14:textId="77777777" w:rsidTr="005B5DE2">
        <w:trPr>
          <w:trHeight w:val="141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FDA0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lastRenderedPageBreak/>
              <w:t>Nač</w:t>
            </w:r>
            <w:r>
              <w:rPr>
                <w:rFonts w:ascii="Merriweather Bold" w:hAnsi="Merriweather Bold"/>
                <w:sz w:val="18"/>
                <w:szCs w:val="18"/>
                <w:lang w:val="it-IT"/>
              </w:rPr>
              <w:t>in pra</w:t>
            </w:r>
            <w:r>
              <w:rPr>
                <w:rFonts w:ascii="Merriweather Bold" w:hAnsi="Merriweather Bold"/>
                <w:sz w:val="18"/>
                <w:szCs w:val="18"/>
              </w:rPr>
              <w:t>ćenja kvalitete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69D93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studentska evaluacija nastave na razini Sveučilišta </w:t>
            </w:r>
          </w:p>
          <w:p w14:paraId="0637B798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studentska evaluacija nastave na razini sastavnice</w:t>
            </w:r>
          </w:p>
          <w:p w14:paraId="228AF59F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interna evaluacija nastave </w:t>
            </w:r>
          </w:p>
          <w:p w14:paraId="47FD9F77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S Gothic" w:hAnsi="MS Gothic"/>
                <w:sz w:val="18"/>
                <w:szCs w:val="18"/>
              </w:rPr>
              <w:t>☒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67DB75BD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</w:pPr>
            <w:r>
              <w:rPr>
                <w:rFonts w:ascii="MS Gothic" w:hAnsi="MS Gothic"/>
                <w:sz w:val="18"/>
                <w:szCs w:val="18"/>
              </w:rPr>
              <w:t>☐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ostalo</w:t>
            </w:r>
          </w:p>
        </w:tc>
      </w:tr>
      <w:tr w:rsidR="00415D4D" w14:paraId="39B11442" w14:textId="77777777" w:rsidTr="005B5DE2">
        <w:trPr>
          <w:trHeight w:val="5970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ABA5" w14:textId="77777777" w:rsidR="00415D4D" w:rsidRDefault="00000000">
            <w:pPr>
              <w:pStyle w:val="Tijelo"/>
              <w:spacing w:before="20" w:after="20"/>
              <w:rPr>
                <w:rFonts w:ascii="Merriweather Bold" w:eastAsia="Merriweather Bold" w:hAnsi="Merriweather Bold" w:cs="Merriweather Bold"/>
                <w:sz w:val="18"/>
                <w:szCs w:val="18"/>
              </w:rPr>
            </w:pPr>
            <w:r>
              <w:rPr>
                <w:rFonts w:ascii="Merriweather Bold" w:hAnsi="Merriweather Bold"/>
                <w:sz w:val="18"/>
                <w:szCs w:val="18"/>
              </w:rPr>
              <w:t>Napomena</w:t>
            </w:r>
            <w:r>
              <w:rPr>
                <w:rFonts w:ascii="Merriweather Bold" w:hAnsi="Merriweather Bold"/>
                <w:sz w:val="18"/>
                <w:szCs w:val="18"/>
                <w:lang w:val="ru-RU"/>
              </w:rPr>
              <w:t> </w:t>
            </w:r>
            <w:r>
              <w:rPr>
                <w:rFonts w:ascii="Merriweather Bold" w:hAnsi="Merriweather Bold"/>
                <w:sz w:val="18"/>
                <w:szCs w:val="18"/>
              </w:rPr>
              <w:t>/</w:t>
            </w:r>
            <w:r>
              <w:rPr>
                <w:rFonts w:ascii="Merriweather Bold" w:hAnsi="Merriweather Bold"/>
                <w:sz w:val="18"/>
                <w:szCs w:val="18"/>
                <w:lang w:val="ru-RU"/>
              </w:rPr>
              <w:t> </w:t>
            </w:r>
          </w:p>
          <w:p w14:paraId="4D05DFE3" w14:textId="77777777" w:rsidR="00415D4D" w:rsidRDefault="00000000">
            <w:pPr>
              <w:pStyle w:val="Tijelo"/>
              <w:spacing w:before="20" w:after="20"/>
            </w:pPr>
            <w:r>
              <w:rPr>
                <w:rFonts w:ascii="Merriweather Bold" w:hAnsi="Merriweather Bold"/>
                <w:sz w:val="18"/>
                <w:szCs w:val="18"/>
              </w:rPr>
              <w:t>Ostalo</w:t>
            </w:r>
          </w:p>
        </w:tc>
        <w:tc>
          <w:tcPr>
            <w:tcW w:w="748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E68C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Sukladno čl. 6.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čkog kodeksa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</w:t>
            </w:r>
            <w:r>
              <w:rPr>
                <w:rFonts w:ascii="Merriweather Regular" w:hAnsi="Merriweather Regular"/>
                <w:sz w:val="18"/>
                <w:szCs w:val="18"/>
                <w:rtl/>
                <w:lang w:val="ar-SA"/>
              </w:rPr>
              <w:t>“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. </w:t>
            </w:r>
          </w:p>
          <w:p w14:paraId="211B75F5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Prema čl. 14. 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  <w:lang w:val="it-IT"/>
              </w:rPr>
              <w:t>Eti</w:t>
            </w:r>
            <w:r>
              <w:rPr>
                <w:rFonts w:ascii="Merriweather Light" w:hAnsi="Merriweather Light"/>
                <w:i/>
                <w:iCs/>
                <w:sz w:val="18"/>
                <w:szCs w:val="18"/>
              </w:rPr>
              <w:t>čkog kodeksa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 Sveučilišta u Zadru, od studenata se očekuje „odgovorno i savjesno ispunjavanje obveza. […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>] Du</w:t>
            </w:r>
            <w:r>
              <w:rPr>
                <w:rFonts w:ascii="Merriweather Regular" w:hAnsi="Merriweather Regular"/>
                <w:sz w:val="18"/>
                <w:szCs w:val="18"/>
              </w:rPr>
              <w:t>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 Regular" w:hAnsi="Merriweather Regular"/>
              </w:rPr>
              <w:t xml:space="preserve"> 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>[</w:t>
            </w:r>
            <w:r>
              <w:rPr>
                <w:rFonts w:ascii="Merriweather Regular" w:hAnsi="Merriweather Regular"/>
                <w:sz w:val="18"/>
                <w:szCs w:val="18"/>
              </w:rPr>
              <w:t>…</w:t>
            </w:r>
            <w:r>
              <w:rPr>
                <w:rFonts w:ascii="Merriweather Regular" w:hAnsi="Merriweather Regular"/>
                <w:sz w:val="18"/>
                <w:szCs w:val="18"/>
                <w:lang w:val="pt-PT"/>
              </w:rPr>
              <w:t xml:space="preserve">] </w:t>
            </w:r>
          </w:p>
          <w:p w14:paraId="3588FD77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Eti</w:t>
            </w:r>
            <w:r>
              <w:rPr>
                <w:rFonts w:ascii="Merriweather Regular" w:hAnsi="Merriweather Regular"/>
                <w:sz w:val="18"/>
                <w:szCs w:val="18"/>
              </w:rPr>
              <w:t xml:space="preserve">čki je nedopušten svaki čin koji predstavlja povrjedu akademskog poštenja. To uključuje, ali se ne ograničava samo na: </w:t>
            </w:r>
          </w:p>
          <w:p w14:paraId="63708051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razne oblike prijevare kao što su uporaba ili posjedovanje knjiga, bilježaka, podataka, elektroničkih naprava ili drugih pomagala za vrijeme ispita, osim u slučajevima kada je to izrijekom dopuš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 xml:space="preserve">teno; </w:t>
            </w:r>
          </w:p>
          <w:p w14:paraId="6DF78534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Merriweather Regular" w:hAnsi="Merriweather Regular"/>
                <w:sz w:val="18"/>
                <w:szCs w:val="18"/>
                <w:rtl/>
                <w:lang w:val="ar-SA"/>
              </w:rPr>
              <w:t>“</w:t>
            </w:r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  <w:p w14:paraId="4BBE1DAB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>
                <w:rPr>
                  <w:rStyle w:val="Hyperlink2"/>
                  <w:rFonts w:ascii="Merriweather Regular" w:hAnsi="Merriweather Regular"/>
                  <w:sz w:val="18"/>
                  <w:szCs w:val="18"/>
                </w:rPr>
                <w:t>Pravilnik o stegovnoj odgovornosti studenata/studentica Sveučilišta u Zadru</w:t>
              </w:r>
            </w:hyperlink>
            <w:r>
              <w:rPr>
                <w:rFonts w:ascii="Merriweather Regular" w:hAnsi="Merriweather Regular"/>
                <w:sz w:val="18"/>
                <w:szCs w:val="18"/>
              </w:rPr>
              <w:t>.</w:t>
            </w:r>
          </w:p>
          <w:p w14:paraId="5784F3AC" w14:textId="77777777" w:rsidR="00415D4D" w:rsidRDefault="00415D4D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2285036C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  <w:r>
              <w:rPr>
                <w:rFonts w:ascii="Merriweather Regular" w:hAnsi="Merriweather Regula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3E11C53" w14:textId="77777777" w:rsidR="00415D4D" w:rsidRDefault="00415D4D">
            <w:pPr>
              <w:pStyle w:val="Tijelo"/>
              <w:tabs>
                <w:tab w:val="left" w:pos="1218"/>
              </w:tabs>
              <w:spacing w:before="20" w:after="20"/>
              <w:jc w:val="both"/>
              <w:rPr>
                <w:rFonts w:ascii="Merriweather Regular" w:eastAsia="Merriweather Regular" w:hAnsi="Merriweather Regular" w:cs="Merriweather Regular"/>
                <w:sz w:val="18"/>
                <w:szCs w:val="18"/>
              </w:rPr>
            </w:pPr>
          </w:p>
          <w:p w14:paraId="4E08910A" w14:textId="77777777" w:rsidR="00415D4D" w:rsidRDefault="00000000">
            <w:pPr>
              <w:pStyle w:val="Tijelo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Merriweather Regular" w:hAnsi="Merriweather Regular"/>
                <w:sz w:val="18"/>
                <w:szCs w:val="18"/>
              </w:rPr>
              <w:t>U kolegiju se koristi Merlin, sustav za e-učenje, pa su studentima/cama potrebni AAI rač</w:t>
            </w:r>
            <w:r>
              <w:rPr>
                <w:rFonts w:ascii="Merriweather Regular" w:hAnsi="Merriweather Regular"/>
                <w:sz w:val="18"/>
                <w:szCs w:val="18"/>
                <w:lang w:val="it-IT"/>
              </w:rPr>
              <w:t>uni.</w:t>
            </w:r>
          </w:p>
        </w:tc>
      </w:tr>
    </w:tbl>
    <w:p w14:paraId="596309D5" w14:textId="77777777" w:rsidR="00415D4D" w:rsidRDefault="00415D4D">
      <w:pPr>
        <w:pStyle w:val="Tijelo"/>
        <w:widowControl w:val="0"/>
        <w:jc w:val="center"/>
      </w:pPr>
    </w:p>
    <w:sectPr w:rsidR="00415D4D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7A84" w14:textId="77777777" w:rsidR="006F3E4F" w:rsidRDefault="006F3E4F">
      <w:r>
        <w:separator/>
      </w:r>
    </w:p>
  </w:endnote>
  <w:endnote w:type="continuationSeparator" w:id="0">
    <w:p w14:paraId="3EF5BF81" w14:textId="77777777" w:rsidR="006F3E4F" w:rsidRDefault="006F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 Regula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old">
    <w:panose1 w:val="000008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019" w14:textId="77777777" w:rsidR="00415D4D" w:rsidRDefault="00415D4D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F0E4" w14:textId="77777777" w:rsidR="006F3E4F" w:rsidRDefault="006F3E4F">
      <w:r>
        <w:separator/>
      </w:r>
    </w:p>
  </w:footnote>
  <w:footnote w:type="continuationSeparator" w:id="0">
    <w:p w14:paraId="3D1875DE" w14:textId="77777777" w:rsidR="006F3E4F" w:rsidRDefault="006F3E4F">
      <w:r>
        <w:continuationSeparator/>
      </w:r>
    </w:p>
  </w:footnote>
  <w:footnote w:type="continuationNotice" w:id="1">
    <w:p w14:paraId="22C728A8" w14:textId="77777777" w:rsidR="006F3E4F" w:rsidRDefault="006F3E4F"/>
  </w:footnote>
  <w:footnote w:id="2">
    <w:p w14:paraId="1C0640F1" w14:textId="77777777" w:rsidR="00415D4D" w:rsidRDefault="00000000">
      <w:pPr>
        <w:pStyle w:val="FootnoteText"/>
        <w:jc w:val="both"/>
      </w:pPr>
      <w:r>
        <w:rPr>
          <w:rFonts w:ascii="Merriweather Regular" w:eastAsia="Merriweather Regular" w:hAnsi="Merriweather Regular" w:cs="Merriweather Regular"/>
          <w:sz w:val="24"/>
          <w:szCs w:val="24"/>
          <w:vertAlign w:val="superscript"/>
        </w:rPr>
        <w:footnoteRef/>
      </w:r>
      <w:r>
        <w:rPr>
          <w:rFonts w:ascii="Merriweather Regular" w:hAnsi="Merriweather Regular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F34E" w14:textId="77777777" w:rsidR="00415D4D" w:rsidRDefault="00000000">
    <w:pPr>
      <w:pStyle w:val="Naslov2"/>
      <w:tabs>
        <w:tab w:val="left" w:pos="1418"/>
      </w:tabs>
      <w:spacing w:before="0" w:after="0"/>
      <w:ind w:left="1560"/>
      <w:rPr>
        <w:rFonts w:ascii="Merriweather Bold" w:hAnsi="Merriweather Bold"/>
        <w:b w:val="0"/>
        <w:bCs w:val="0"/>
        <w:sz w:val="18"/>
        <w:szCs w:val="1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9B99EF" wp14:editId="3D6D0FDC">
              <wp:simplePos x="0" y="0"/>
              <wp:positionH relativeFrom="page">
                <wp:posOffset>692149</wp:posOffset>
              </wp:positionH>
              <wp:positionV relativeFrom="page">
                <wp:posOffset>181610</wp:posOffset>
              </wp:positionV>
              <wp:extent cx="1163320" cy="957581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320" cy="9575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BFA688F" w14:textId="77777777" w:rsidR="00415D4D" w:rsidRDefault="00000000">
                          <w:pPr>
                            <w:pStyle w:val="Tijel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D37D4E" wp14:editId="187AE77D">
                                <wp:extent cx="724205" cy="782768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4205" cy="7827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9B99EF" id="officeArt object" o:spid="_x0000_s1026" alt="Rectangle 2" style="position:absolute;left:0;text-align:left;margin-left:54.5pt;margin-top:14.3pt;width:91.6pt;height:75.4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" strokecolor="white">
              <v:textbox inset="1.27mm,1.27mm,1.27mm,1.27mm">
                <w:txbxContent>
                  <w:p w14:paraId="1BFA688F" w14:textId="77777777" w:rsidR="00415D4D" w:rsidRDefault="00000000">
                    <w:pPr>
                      <w:pStyle w:val="Tijel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D37D4E" wp14:editId="187AE77D">
                          <wp:extent cx="724205" cy="782768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4205" cy="7827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FA7BBF9" w14:textId="77777777" w:rsidR="00415D4D" w:rsidRDefault="00000000">
    <w:pPr>
      <w:pStyle w:val="Tijelo"/>
      <w:pBdr>
        <w:bottom w:val="single" w:sz="4" w:space="0" w:color="000000"/>
      </w:pBdr>
      <w:tabs>
        <w:tab w:val="left" w:pos="1418"/>
      </w:tabs>
      <w:spacing w:before="0" w:after="0"/>
      <w:ind w:left="1560"/>
      <w:jc w:val="right"/>
      <w:rPr>
        <w:rFonts w:ascii="Merriweather Regular" w:eastAsia="Merriweather Regular" w:hAnsi="Merriweather Regular" w:cs="Merriweather Regular"/>
        <w:sz w:val="18"/>
        <w:szCs w:val="18"/>
      </w:rPr>
    </w:pPr>
    <w:r>
      <w:rPr>
        <w:rFonts w:ascii="Merriweather Regular" w:hAnsi="Merriweather Regular"/>
        <w:sz w:val="18"/>
        <w:szCs w:val="18"/>
      </w:rPr>
      <w:t>Obrazac 1.3.2. Izvedbeni plan nastave (</w:t>
    </w:r>
    <w:r>
      <w:rPr>
        <w:rFonts w:ascii="Merriweather Light" w:hAnsi="Merriweather Light"/>
        <w:i/>
        <w:iCs/>
        <w:sz w:val="18"/>
        <w:szCs w:val="18"/>
      </w:rPr>
      <w:t>syllabus</w:t>
    </w:r>
    <w:r>
      <w:rPr>
        <w:rFonts w:ascii="Merriweather Regular" w:hAnsi="Merriweather Regular"/>
        <w:sz w:val="18"/>
        <w:szCs w:val="18"/>
      </w:rPr>
      <w:t>)</w:t>
    </w:r>
  </w:p>
  <w:p w14:paraId="30E3019F" w14:textId="77777777" w:rsidR="00415D4D" w:rsidRDefault="00415D4D">
    <w:pPr>
      <w:pStyle w:val="Header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3C9"/>
    <w:multiLevelType w:val="hybridMultilevel"/>
    <w:tmpl w:val="BF444E3C"/>
    <w:lvl w:ilvl="0" w:tplc="851863CA">
      <w:start w:val="25"/>
      <w:numFmt w:val="bullet"/>
      <w:lvlText w:val="-"/>
      <w:lvlJc w:val="left"/>
      <w:pPr>
        <w:ind w:left="720" w:hanging="360"/>
      </w:pPr>
      <w:rPr>
        <w:rFonts w:ascii="Merriweather Regular" w:eastAsia="Arial Unicode MS" w:hAnsi="Merriweather Regular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5966"/>
    <w:multiLevelType w:val="hybridMultilevel"/>
    <w:tmpl w:val="AD82C734"/>
    <w:lvl w:ilvl="0" w:tplc="8A6E342A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A95CE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86426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E6FA6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4F99E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EDD6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866E6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42CB60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CCA54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BE3AA1"/>
    <w:multiLevelType w:val="hybridMultilevel"/>
    <w:tmpl w:val="FE2EDFA0"/>
    <w:lvl w:ilvl="0" w:tplc="80ACADB4">
      <w:start w:val="1"/>
      <w:numFmt w:val="bullet"/>
      <w:lvlText w:val="•"/>
      <w:lvlJc w:val="left"/>
      <w:pPr>
        <w:tabs>
          <w:tab w:val="left" w:pos="20"/>
          <w:tab w:val="left" w:pos="1218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83E64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8DE9A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0FAB6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461D6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3BF8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EDA52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48E90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4A9A62">
      <w:start w:val="1"/>
      <w:numFmt w:val="bullet"/>
      <w:lvlText w:val="•"/>
      <w:lvlJc w:val="left"/>
      <w:pPr>
        <w:tabs>
          <w:tab w:val="left" w:pos="20"/>
          <w:tab w:val="left" w:pos="142"/>
          <w:tab w:val="left" w:pos="1218"/>
        </w:tabs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3567285">
    <w:abstractNumId w:val="1"/>
  </w:num>
  <w:num w:numId="2" w16cid:durableId="847057868">
    <w:abstractNumId w:val="2"/>
  </w:num>
  <w:num w:numId="3" w16cid:durableId="106078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4D"/>
    <w:rsid w:val="00415D4D"/>
    <w:rsid w:val="005B5DE2"/>
    <w:rsid w:val="006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902D43"/>
  <w15:docId w15:val="{72E3CA79-71B0-184F-95F6-18462AC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slov2">
    <w:name w:val="Naslov 2"/>
    <w:pPr>
      <w:spacing w:before="100" w:after="100"/>
      <w:outlineLvl w:val="0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before="120" w:after="12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Calibri" w:eastAsia="Calibri" w:hAnsi="Calibri" w:cs="Calibri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i/>
      <w:iCs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mijarev@gmail.com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ornija@unizd.hr" TargetMode="External"/><Relationship Id="rId12" Type="http://schemas.openxmlformats.org/officeDocument/2006/relationships/hyperlink" Target="https://www.ancient-greece.org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iu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ncient.eu/explore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historyresources.net/ARTHLink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Zornija</cp:lastModifiedBy>
  <cp:revision>2</cp:revision>
  <dcterms:created xsi:type="dcterms:W3CDTF">2023-09-12T22:58:00Z</dcterms:created>
  <dcterms:modified xsi:type="dcterms:W3CDTF">2023-09-12T22:58:00Z</dcterms:modified>
</cp:coreProperties>
</file>