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79" w:rsidRPr="00D0484C" w:rsidRDefault="000F2879" w:rsidP="000F2879">
      <w:pPr>
        <w:autoSpaceDE w:val="0"/>
        <w:autoSpaceDN w:val="0"/>
        <w:adjustRightInd w:val="0"/>
        <w:spacing w:after="0" w:line="240" w:lineRule="auto"/>
        <w:jc w:val="both"/>
        <w:rPr>
          <w:rFonts w:ascii="Times New Roman" w:hAnsi="Times New Roman"/>
        </w:rPr>
      </w:pPr>
      <w:r w:rsidRPr="00D0484C">
        <w:rPr>
          <w:rFonts w:ascii="Times New Roman" w:hAnsi="Times New Roman"/>
        </w:rPr>
        <w:t>Na temelju članka 54. Statuta Sveučilišta u Zadru (</w:t>
      </w:r>
      <w:r w:rsidRPr="00D0484C">
        <w:rPr>
          <w:rFonts w:ascii="Times New Roman" w:hAnsi="Times New Roman"/>
        </w:rPr>
        <w:t>pročišćeni tekst svibanj 2015.</w:t>
      </w:r>
      <w:r w:rsidRPr="00D0484C">
        <w:rPr>
          <w:rFonts w:ascii="Times New Roman" w:hAnsi="Times New Roman"/>
        </w:rPr>
        <w:t>)</w:t>
      </w:r>
      <w:r w:rsidRPr="00D0484C">
        <w:rPr>
          <w:rFonts w:ascii="Times New Roman" w:hAnsi="Times New Roman"/>
        </w:rPr>
        <w:t xml:space="preserve"> u svezi s</w:t>
      </w:r>
      <w:r w:rsidRPr="00D0484C">
        <w:rPr>
          <w:rFonts w:ascii="Times New Roman" w:hAnsi="Times New Roman"/>
        </w:rPr>
        <w:t xml:space="preserve"> člank</w:t>
      </w:r>
      <w:r w:rsidRPr="00D0484C">
        <w:rPr>
          <w:rFonts w:ascii="Times New Roman" w:hAnsi="Times New Roman"/>
        </w:rPr>
        <w:t>om</w:t>
      </w:r>
      <w:r w:rsidRPr="00D0484C">
        <w:rPr>
          <w:rFonts w:ascii="Times New Roman" w:hAnsi="Times New Roman"/>
        </w:rPr>
        <w:t xml:space="preserve"> 22. Pravilnika izdavačke djelatnosti Sveučilišta</w:t>
      </w:r>
      <w:r w:rsidRPr="00D0484C">
        <w:rPr>
          <w:rFonts w:ascii="Times New Roman" w:hAnsi="Times New Roman"/>
        </w:rPr>
        <w:t xml:space="preserve"> u Zadru (prosinac 2012.), </w:t>
      </w:r>
      <w:r w:rsidRPr="00D0484C">
        <w:rPr>
          <w:rFonts w:ascii="Times New Roman" w:hAnsi="Times New Roman"/>
        </w:rPr>
        <w:t xml:space="preserve">Senat Sveučilišta u Zadru na </w:t>
      </w:r>
      <w:r w:rsidRPr="00D0484C">
        <w:rPr>
          <w:rFonts w:ascii="Times New Roman" w:hAnsi="Times New Roman"/>
        </w:rPr>
        <w:t>X</w:t>
      </w:r>
      <w:r w:rsidRPr="00D0484C">
        <w:rPr>
          <w:rFonts w:ascii="Times New Roman" w:hAnsi="Times New Roman"/>
        </w:rPr>
        <w:t>II. redovitoj sjednici u akad. god. 201</w:t>
      </w:r>
      <w:r w:rsidRPr="00D0484C">
        <w:rPr>
          <w:rFonts w:ascii="Times New Roman" w:hAnsi="Times New Roman"/>
        </w:rPr>
        <w:t>5</w:t>
      </w:r>
      <w:r w:rsidRPr="00D0484C">
        <w:rPr>
          <w:rFonts w:ascii="Times New Roman" w:hAnsi="Times New Roman"/>
        </w:rPr>
        <w:t>./201</w:t>
      </w:r>
      <w:r w:rsidRPr="00D0484C">
        <w:rPr>
          <w:rFonts w:ascii="Times New Roman" w:hAnsi="Times New Roman"/>
        </w:rPr>
        <w:t>6</w:t>
      </w:r>
      <w:r w:rsidRPr="00D0484C">
        <w:rPr>
          <w:rFonts w:ascii="Times New Roman" w:hAnsi="Times New Roman"/>
        </w:rPr>
        <w:t xml:space="preserve">. održanoj </w:t>
      </w:r>
      <w:r w:rsidRPr="00D0484C">
        <w:rPr>
          <w:rFonts w:ascii="Times New Roman" w:hAnsi="Times New Roman"/>
        </w:rPr>
        <w:t>27</w:t>
      </w:r>
      <w:r w:rsidRPr="00D0484C">
        <w:rPr>
          <w:rFonts w:ascii="Times New Roman" w:hAnsi="Times New Roman"/>
        </w:rPr>
        <w:t xml:space="preserve">. </w:t>
      </w:r>
      <w:r w:rsidRPr="00D0484C">
        <w:rPr>
          <w:rFonts w:ascii="Times New Roman" w:hAnsi="Times New Roman"/>
        </w:rPr>
        <w:t>rujna</w:t>
      </w:r>
      <w:r w:rsidRPr="00D0484C">
        <w:rPr>
          <w:rFonts w:ascii="Times New Roman" w:hAnsi="Times New Roman"/>
        </w:rPr>
        <w:t xml:space="preserve"> 201</w:t>
      </w:r>
      <w:r w:rsidRPr="00D0484C">
        <w:rPr>
          <w:rFonts w:ascii="Times New Roman" w:hAnsi="Times New Roman"/>
        </w:rPr>
        <w:t>6</w:t>
      </w:r>
      <w:r w:rsidRPr="00D0484C">
        <w:rPr>
          <w:rFonts w:ascii="Times New Roman" w:hAnsi="Times New Roman"/>
        </w:rPr>
        <w:t>. donio je</w:t>
      </w:r>
    </w:p>
    <w:p w:rsidR="000F2879" w:rsidRPr="00D0484C" w:rsidRDefault="000F2879" w:rsidP="000F2879">
      <w:pPr>
        <w:spacing w:after="0" w:line="240" w:lineRule="auto"/>
        <w:jc w:val="both"/>
        <w:rPr>
          <w:rFonts w:ascii="Times New Roman" w:eastAsia="Times New Roman" w:hAnsi="Times New Roman" w:cs="Times New Roman"/>
        </w:rPr>
      </w:pPr>
    </w:p>
    <w:p w:rsidR="000F2879" w:rsidRPr="00D0484C" w:rsidRDefault="000F2879" w:rsidP="000F2879">
      <w:pPr>
        <w:autoSpaceDE w:val="0"/>
        <w:autoSpaceDN w:val="0"/>
        <w:adjustRightInd w:val="0"/>
        <w:spacing w:after="0" w:line="240" w:lineRule="auto"/>
        <w:jc w:val="center"/>
        <w:rPr>
          <w:rFonts w:ascii="Times New Roman" w:hAnsi="Times New Roman"/>
        </w:rPr>
      </w:pPr>
      <w:bookmarkStart w:id="0" w:name="_GoBack"/>
      <w:r w:rsidRPr="00D0484C">
        <w:rPr>
          <w:rFonts w:ascii="Times New Roman" w:hAnsi="Times New Roman"/>
        </w:rPr>
        <w:t>ODLUKU O IZMJENAMA I DOPUNAMA</w:t>
      </w:r>
    </w:p>
    <w:p w:rsidR="000F2879" w:rsidRPr="00D0484C" w:rsidRDefault="000F2879" w:rsidP="000F2879">
      <w:pPr>
        <w:autoSpaceDE w:val="0"/>
        <w:autoSpaceDN w:val="0"/>
        <w:adjustRightInd w:val="0"/>
        <w:spacing w:after="0" w:line="240" w:lineRule="auto"/>
        <w:jc w:val="center"/>
        <w:rPr>
          <w:rFonts w:ascii="Times New Roman" w:hAnsi="Times New Roman"/>
        </w:rPr>
      </w:pPr>
      <w:r w:rsidRPr="00D0484C">
        <w:rPr>
          <w:rFonts w:ascii="Times New Roman" w:hAnsi="Times New Roman"/>
        </w:rPr>
        <w:t>POSLOVNIK</w:t>
      </w:r>
      <w:r w:rsidRPr="00D0484C">
        <w:rPr>
          <w:rFonts w:ascii="Times New Roman" w:hAnsi="Times New Roman"/>
        </w:rPr>
        <w:t xml:space="preserve">A </w:t>
      </w:r>
      <w:r w:rsidRPr="00D0484C">
        <w:rPr>
          <w:rFonts w:ascii="Times New Roman" w:hAnsi="Times New Roman"/>
        </w:rPr>
        <w:t>O RADU POVJERENSTVA ZA IZDAVAČKU DJELATNOST</w:t>
      </w:r>
    </w:p>
    <w:p w:rsidR="000F2879" w:rsidRPr="00D0484C" w:rsidRDefault="000F2879" w:rsidP="000F2879">
      <w:pPr>
        <w:autoSpaceDE w:val="0"/>
        <w:autoSpaceDN w:val="0"/>
        <w:adjustRightInd w:val="0"/>
        <w:spacing w:after="0" w:line="240" w:lineRule="auto"/>
        <w:jc w:val="center"/>
        <w:rPr>
          <w:rFonts w:ascii="Times New Roman" w:hAnsi="Times New Roman"/>
        </w:rPr>
      </w:pPr>
      <w:r w:rsidRPr="00D0484C">
        <w:rPr>
          <w:rFonts w:ascii="Times New Roman" w:hAnsi="Times New Roman"/>
        </w:rPr>
        <w:t>SVEUČILIŠTA U ZADRU</w:t>
      </w:r>
    </w:p>
    <w:p w:rsidR="000F2879" w:rsidRPr="00D0484C" w:rsidRDefault="000F2879" w:rsidP="000F2879">
      <w:pPr>
        <w:spacing w:after="0" w:line="240" w:lineRule="auto"/>
        <w:jc w:val="center"/>
        <w:rPr>
          <w:rFonts w:ascii="Times New Roman" w:hAnsi="Times New Roman" w:cs="Times New Roman"/>
          <w:b/>
        </w:rPr>
      </w:pPr>
    </w:p>
    <w:bookmarkEnd w:id="0"/>
    <w:p w:rsidR="000F2879" w:rsidRPr="00D0484C" w:rsidRDefault="000F2879" w:rsidP="000F2879">
      <w:pPr>
        <w:spacing w:after="0" w:line="240" w:lineRule="auto"/>
        <w:jc w:val="center"/>
        <w:rPr>
          <w:rFonts w:ascii="Times New Roman" w:hAnsi="Times New Roman" w:cs="Times New Roman"/>
        </w:rPr>
      </w:pPr>
      <w:r w:rsidRPr="00D0484C">
        <w:rPr>
          <w:rFonts w:ascii="Times New Roman" w:hAnsi="Times New Roman" w:cs="Times New Roman"/>
        </w:rPr>
        <w:t>Članak 1.</w:t>
      </w:r>
    </w:p>
    <w:p w:rsidR="000F2879" w:rsidRPr="00D0484C" w:rsidRDefault="000F2879" w:rsidP="000F2879">
      <w:pPr>
        <w:spacing w:after="0" w:line="240" w:lineRule="auto"/>
        <w:rPr>
          <w:rFonts w:ascii="Times New Roman" w:hAnsi="Times New Roman" w:cs="Times New Roman"/>
        </w:rPr>
      </w:pPr>
      <w:r w:rsidRPr="00D0484C">
        <w:rPr>
          <w:rFonts w:ascii="Times New Roman" w:hAnsi="Times New Roman" w:cs="Times New Roman"/>
        </w:rPr>
        <w:t>Članak 2. se mijenja i glasi:</w:t>
      </w:r>
    </w:p>
    <w:p w:rsidR="000F2879" w:rsidRPr="00D0484C" w:rsidRDefault="000F2879" w:rsidP="000F2879">
      <w:pPr>
        <w:spacing w:after="0" w:line="240" w:lineRule="auto"/>
        <w:jc w:val="both"/>
        <w:rPr>
          <w:rFonts w:ascii="Times New Roman" w:hAnsi="Times New Roman" w:cs="Times New Roman"/>
        </w:rPr>
      </w:pPr>
      <w:r w:rsidRPr="00D0484C">
        <w:rPr>
          <w:rFonts w:ascii="Times New Roman" w:hAnsi="Times New Roman" w:cs="Times New Roman"/>
        </w:rPr>
        <w:t xml:space="preserve">„Povjerenstvo za izdavačku djelatnost (dalje u tekstu: Povjerenstvo) stalno je radno tijelo Senata sastavljeno od šest djelatnika u znanstveno-nastavnom zvanju. </w:t>
      </w:r>
    </w:p>
    <w:p w:rsidR="000F2879" w:rsidRPr="00D0484C" w:rsidRDefault="000F2879" w:rsidP="000F2879">
      <w:pPr>
        <w:spacing w:after="0" w:line="240" w:lineRule="auto"/>
        <w:jc w:val="both"/>
        <w:rPr>
          <w:rFonts w:ascii="Times New Roman" w:hAnsi="Times New Roman" w:cs="Times New Roman"/>
        </w:rPr>
      </w:pPr>
      <w:r w:rsidRPr="00D0484C">
        <w:rPr>
          <w:rFonts w:ascii="Times New Roman" w:hAnsi="Times New Roman" w:cs="Times New Roman"/>
        </w:rPr>
        <w:t xml:space="preserve">Prorektor zadužen za izdavaštvo po svom je položaju član, a ujedno i predsjednik Povjerenstva. </w:t>
      </w:r>
    </w:p>
    <w:p w:rsidR="000F2879" w:rsidRPr="00D0484C" w:rsidRDefault="000F2879" w:rsidP="000F2879">
      <w:pPr>
        <w:spacing w:after="0" w:line="240" w:lineRule="auto"/>
        <w:jc w:val="both"/>
        <w:rPr>
          <w:rFonts w:ascii="Times New Roman" w:hAnsi="Times New Roman" w:cs="Times New Roman"/>
        </w:rPr>
      </w:pPr>
      <w:r w:rsidRPr="00D0484C">
        <w:rPr>
          <w:rFonts w:ascii="Times New Roman" w:hAnsi="Times New Roman" w:cs="Times New Roman"/>
        </w:rPr>
        <w:t>Po dva nastavnika u Povjerenstvo predlažu područna stručna vijeća, a imenuje ih Senat na vrijeme od četiri godine. Članovi Povjerenstva mogu biti imenovani više puta uzastopce.“</w:t>
      </w:r>
    </w:p>
    <w:p w:rsidR="000F2879" w:rsidRPr="00D0484C" w:rsidRDefault="000F2879" w:rsidP="000F2879">
      <w:pPr>
        <w:spacing w:after="0" w:line="240" w:lineRule="auto"/>
        <w:jc w:val="both"/>
        <w:rPr>
          <w:rFonts w:ascii="Times New Roman" w:hAnsi="Times New Roman" w:cs="Times New Roman"/>
        </w:rPr>
      </w:pPr>
    </w:p>
    <w:p w:rsidR="000F2879" w:rsidRPr="00D0484C" w:rsidRDefault="000F2879" w:rsidP="000F2879">
      <w:pPr>
        <w:spacing w:after="0" w:line="240" w:lineRule="auto"/>
        <w:jc w:val="both"/>
        <w:rPr>
          <w:rFonts w:ascii="Times New Roman" w:hAnsi="Times New Roman" w:cs="Times New Roman"/>
        </w:rPr>
      </w:pPr>
      <w:r w:rsidRPr="00D0484C">
        <w:rPr>
          <w:rFonts w:ascii="Times New Roman" w:hAnsi="Times New Roman" w:cs="Times New Roman"/>
        </w:rPr>
        <w:t xml:space="preserve">                                                                  Članak 2. </w:t>
      </w:r>
    </w:p>
    <w:p w:rsidR="000F2879" w:rsidRPr="00D0484C" w:rsidRDefault="000F2879" w:rsidP="000F2879">
      <w:pPr>
        <w:spacing w:after="0" w:line="240" w:lineRule="auto"/>
        <w:jc w:val="both"/>
        <w:rPr>
          <w:rFonts w:ascii="Times New Roman" w:hAnsi="Times New Roman" w:cs="Times New Roman"/>
        </w:rPr>
      </w:pPr>
      <w:r w:rsidRPr="00D0484C">
        <w:rPr>
          <w:rFonts w:ascii="Times New Roman" w:hAnsi="Times New Roman" w:cs="Times New Roman"/>
        </w:rPr>
        <w:t>U</w:t>
      </w:r>
      <w:r w:rsidRPr="00D0484C">
        <w:rPr>
          <w:rFonts w:ascii="Times New Roman" w:hAnsi="Times New Roman" w:cs="Times New Roman"/>
        </w:rPr>
        <w:t xml:space="preserve"> Članku 13.stavak</w:t>
      </w:r>
      <w:r w:rsidRPr="00D0484C">
        <w:rPr>
          <w:rFonts w:ascii="Times New Roman" w:hAnsi="Times New Roman" w:cs="Times New Roman"/>
        </w:rPr>
        <w:t xml:space="preserve"> 1</w:t>
      </w:r>
      <w:r w:rsidRPr="00D0484C">
        <w:rPr>
          <w:rFonts w:ascii="Times New Roman" w:hAnsi="Times New Roman" w:cs="Times New Roman"/>
        </w:rPr>
        <w:t>.  mijenja</w:t>
      </w:r>
      <w:r w:rsidRPr="00D0484C">
        <w:rPr>
          <w:rFonts w:ascii="Times New Roman" w:hAnsi="Times New Roman" w:cs="Times New Roman"/>
        </w:rPr>
        <w:t xml:space="preserve"> se</w:t>
      </w:r>
      <w:r w:rsidRPr="00D0484C">
        <w:rPr>
          <w:rFonts w:ascii="Times New Roman" w:hAnsi="Times New Roman" w:cs="Times New Roman"/>
        </w:rPr>
        <w:t xml:space="preserve"> i glasi:</w:t>
      </w:r>
    </w:p>
    <w:p w:rsidR="000F2879" w:rsidRPr="00D0484C" w:rsidRDefault="000F2879" w:rsidP="000F2879">
      <w:pPr>
        <w:spacing w:after="0" w:line="240" w:lineRule="auto"/>
        <w:jc w:val="both"/>
        <w:rPr>
          <w:rFonts w:ascii="Times New Roman" w:hAnsi="Times New Roman" w:cs="Times New Roman"/>
        </w:rPr>
      </w:pPr>
      <w:r w:rsidRPr="00D0484C">
        <w:rPr>
          <w:rFonts w:ascii="Times New Roman" w:hAnsi="Times New Roman" w:cs="Times New Roman"/>
        </w:rPr>
        <w:t xml:space="preserve">„Prilikom uredničkog i recenzentskog postupka na sjednicu Povjerenstva poziva se pročelnik  odjela ili voditelj znanstveno-istraživačkog centra koji je predložio objavljivanje djela. Pročelnik  odjela ili voditelj znanstveno-istraživačkog centra izvješćuje Povjerenstvo o predloženom djelu nakon što se prikupe potrebne recenzije. Ako pročelnik  odjela ili voditelj znanstveno-istraživačkog centra ne mogu </w:t>
      </w:r>
      <w:proofErr w:type="spellStart"/>
      <w:r w:rsidRPr="00D0484C">
        <w:rPr>
          <w:rFonts w:ascii="Times New Roman" w:hAnsi="Times New Roman" w:cs="Times New Roman"/>
        </w:rPr>
        <w:t>nazočiti</w:t>
      </w:r>
      <w:proofErr w:type="spellEnd"/>
      <w:r w:rsidRPr="00D0484C">
        <w:rPr>
          <w:rFonts w:ascii="Times New Roman" w:hAnsi="Times New Roman" w:cs="Times New Roman"/>
        </w:rPr>
        <w:t xml:space="preserve"> sjednici, mogu opunomoćiti svojega predstavnika koji ga na sjednici treba zastupati.“</w:t>
      </w:r>
    </w:p>
    <w:p w:rsidR="000F2879" w:rsidRPr="00D0484C" w:rsidRDefault="000F2879" w:rsidP="000F2879">
      <w:pPr>
        <w:spacing w:after="0" w:line="240" w:lineRule="auto"/>
        <w:jc w:val="both"/>
        <w:rPr>
          <w:rFonts w:ascii="Times New Roman" w:hAnsi="Times New Roman" w:cs="Times New Roman"/>
        </w:rPr>
      </w:pPr>
    </w:p>
    <w:p w:rsidR="000F2879" w:rsidRPr="00D0484C" w:rsidRDefault="000F2879" w:rsidP="000F2879">
      <w:pPr>
        <w:spacing w:after="0" w:line="240" w:lineRule="auto"/>
        <w:jc w:val="both"/>
        <w:rPr>
          <w:rFonts w:ascii="Times New Roman" w:hAnsi="Times New Roman" w:cs="Times New Roman"/>
        </w:rPr>
      </w:pPr>
      <w:r w:rsidRPr="00D0484C">
        <w:rPr>
          <w:rFonts w:ascii="Times New Roman" w:hAnsi="Times New Roman" w:cs="Times New Roman"/>
        </w:rPr>
        <w:t xml:space="preserve">                                                                  Članak 3. </w:t>
      </w:r>
    </w:p>
    <w:p w:rsidR="000F2879" w:rsidRPr="00D0484C" w:rsidRDefault="000F2879" w:rsidP="000F2879">
      <w:pPr>
        <w:spacing w:after="0" w:line="240" w:lineRule="auto"/>
        <w:jc w:val="both"/>
        <w:rPr>
          <w:rFonts w:ascii="Times New Roman" w:hAnsi="Times New Roman" w:cs="Times New Roman"/>
        </w:rPr>
      </w:pPr>
      <w:r w:rsidRPr="00D0484C">
        <w:rPr>
          <w:rFonts w:ascii="Times New Roman" w:hAnsi="Times New Roman" w:cs="Times New Roman"/>
        </w:rPr>
        <w:t xml:space="preserve">U Članku 16. dodaje se stavak </w:t>
      </w:r>
      <w:r w:rsidRPr="00D0484C">
        <w:rPr>
          <w:rFonts w:ascii="Times New Roman" w:hAnsi="Times New Roman" w:cs="Times New Roman"/>
        </w:rPr>
        <w:t xml:space="preserve">2. </w:t>
      </w:r>
      <w:r w:rsidRPr="00D0484C">
        <w:rPr>
          <w:rFonts w:ascii="Times New Roman" w:hAnsi="Times New Roman" w:cs="Times New Roman"/>
        </w:rPr>
        <w:t>koji glasi:</w:t>
      </w:r>
    </w:p>
    <w:p w:rsidR="000F2879" w:rsidRPr="00D0484C" w:rsidRDefault="000F2879" w:rsidP="000F2879">
      <w:pPr>
        <w:spacing w:after="0" w:line="240" w:lineRule="auto"/>
        <w:jc w:val="both"/>
        <w:rPr>
          <w:rFonts w:ascii="Times New Roman" w:hAnsi="Times New Roman" w:cs="Times New Roman"/>
        </w:rPr>
      </w:pPr>
      <w:r w:rsidRPr="00D0484C">
        <w:rPr>
          <w:rFonts w:ascii="Times New Roman" w:hAnsi="Times New Roman" w:cs="Times New Roman"/>
        </w:rPr>
        <w:t>„U hitnim i opravdanim slučajevima može se održati elektronska sjednica Povjerenstva putem elektronske pošte. Za pravovaljano odlučivanje na elektronskoj sjednici predsjednik Povjerenstva treba dostaviti prijedlog odluke elektronskom poštom o kojoj članovi Povjerenstva odlučuju i odrediti rok do kojega se glasa elektronskom poštom, a koji ne može biti kraći od 24 sata unutar radnog dana za njegovu provedbu. Kod elektronskog glasovanja nazočnim članovima Povjerenstva smatraju se članovi koji su glasovali, te se odluka smatra usvojenom ako je usvojena većinom glasova članova Povjerenstva koji su glasovali elektronskom poštom. Glasovanje na elektronskoj sjednici obavlja se tako da svaki član Povjerenstva elektronskom poštom koju šalje predsjedniku Povjerenstva za pojedini prijedlog odluke glasa „ZA“, „PROTIV“ ili „SUZDRŽAN“. O radu Povjerenstva na elektronskoj sjednici sastavlja se zapisnik koji se potvrđuje na prvoj sljedećoj sjednici Povjerenstva.“</w:t>
      </w:r>
      <w:r w:rsidRPr="00D0484C">
        <w:rPr>
          <w:rFonts w:ascii="Times New Roman" w:hAnsi="Times New Roman" w:cs="Times New Roman"/>
        </w:rPr>
        <w:cr/>
      </w:r>
    </w:p>
    <w:p w:rsidR="000F2879" w:rsidRPr="00D0484C" w:rsidRDefault="000F2879" w:rsidP="000F2879">
      <w:pPr>
        <w:spacing w:after="0" w:line="240" w:lineRule="auto"/>
        <w:jc w:val="center"/>
        <w:rPr>
          <w:rFonts w:ascii="Times New Roman" w:hAnsi="Times New Roman" w:cs="Times New Roman"/>
        </w:rPr>
      </w:pPr>
      <w:r w:rsidRPr="00D0484C">
        <w:rPr>
          <w:rFonts w:ascii="Times New Roman" w:hAnsi="Times New Roman" w:cs="Times New Roman"/>
        </w:rPr>
        <w:t xml:space="preserve">Članak </w:t>
      </w:r>
      <w:r w:rsidRPr="00D0484C">
        <w:rPr>
          <w:rFonts w:ascii="Times New Roman" w:hAnsi="Times New Roman" w:cs="Times New Roman"/>
        </w:rPr>
        <w:t>4</w:t>
      </w:r>
      <w:r w:rsidRPr="00D0484C">
        <w:rPr>
          <w:rFonts w:ascii="Times New Roman" w:hAnsi="Times New Roman" w:cs="Times New Roman"/>
        </w:rPr>
        <w:t>.</w:t>
      </w:r>
    </w:p>
    <w:p w:rsidR="000F2879" w:rsidRPr="00BD4953" w:rsidRDefault="000F2879" w:rsidP="000F2879">
      <w:pPr>
        <w:tabs>
          <w:tab w:val="left" w:pos="1080"/>
        </w:tabs>
        <w:spacing w:after="0" w:line="240" w:lineRule="auto"/>
        <w:jc w:val="both"/>
        <w:rPr>
          <w:rFonts w:ascii="Times New Roman" w:eastAsia="Times New Roman" w:hAnsi="Times New Roman" w:cs="Times New Roman"/>
        </w:rPr>
      </w:pPr>
      <w:r w:rsidRPr="00BD4953">
        <w:rPr>
          <w:rFonts w:ascii="Times New Roman" w:eastAsia="Times New Roman" w:hAnsi="Times New Roman" w:cs="Times New Roman"/>
        </w:rPr>
        <w:t>Ove izmjene i dopune  stupaju  na snagu danom donošenja.</w:t>
      </w:r>
    </w:p>
    <w:p w:rsidR="000F2879" w:rsidRPr="00BD4953" w:rsidRDefault="000F2879" w:rsidP="000F2879">
      <w:pPr>
        <w:spacing w:after="0" w:line="240" w:lineRule="auto"/>
        <w:jc w:val="both"/>
        <w:rPr>
          <w:rFonts w:ascii="Times New Roman" w:eastAsia="Times New Roman" w:hAnsi="Times New Roman" w:cs="Times New Roman"/>
        </w:rPr>
      </w:pPr>
    </w:p>
    <w:p w:rsidR="00D0484C" w:rsidRDefault="00D0484C" w:rsidP="000F2879">
      <w:pPr>
        <w:spacing w:after="0" w:line="240" w:lineRule="auto"/>
        <w:jc w:val="both"/>
        <w:rPr>
          <w:rFonts w:ascii="Times New Roman" w:eastAsia="Times New Roman" w:hAnsi="Times New Roman" w:cs="Times New Roman"/>
        </w:rPr>
      </w:pPr>
    </w:p>
    <w:p w:rsidR="007A5CA7" w:rsidRDefault="00D0484C" w:rsidP="00D0484C">
      <w:pPr>
        <w:pStyle w:val="BodyText"/>
      </w:pPr>
      <w:r>
        <w:t xml:space="preserve">KLASA: </w:t>
      </w:r>
      <w:r w:rsidR="007A5CA7">
        <w:t>012</w:t>
      </w:r>
      <w:r>
        <w:t>-0</w:t>
      </w:r>
      <w:r w:rsidR="007A5CA7">
        <w:t>1</w:t>
      </w:r>
      <w:r>
        <w:t>/1</w:t>
      </w:r>
      <w:r w:rsidR="007A5CA7">
        <w:t>6</w:t>
      </w:r>
      <w:r>
        <w:t>-0</w:t>
      </w:r>
      <w:r w:rsidR="007A5CA7">
        <w:t>3</w:t>
      </w:r>
      <w:r>
        <w:t>/</w:t>
      </w:r>
      <w:r w:rsidR="007A5CA7">
        <w:t>01</w:t>
      </w:r>
    </w:p>
    <w:p w:rsidR="00D0484C" w:rsidRDefault="00D0484C" w:rsidP="00D0484C">
      <w:pPr>
        <w:pStyle w:val="BodyText"/>
      </w:pPr>
      <w:r>
        <w:t>URBROJ: 2198-1-79-</w:t>
      </w:r>
      <w:r w:rsidR="007A5CA7">
        <w:t>06</w:t>
      </w:r>
      <w:r>
        <w:t>/1</w:t>
      </w:r>
      <w:r>
        <w:t>6</w:t>
      </w:r>
      <w:r>
        <w:t>-0</w:t>
      </w:r>
      <w:r w:rsidR="007A5CA7">
        <w:t>1</w:t>
      </w:r>
    </w:p>
    <w:p w:rsidR="00D0484C" w:rsidRPr="00BD4953" w:rsidRDefault="00D0484C" w:rsidP="000F2879">
      <w:pPr>
        <w:spacing w:after="0" w:line="240" w:lineRule="auto"/>
        <w:jc w:val="both"/>
        <w:rPr>
          <w:rFonts w:ascii="Times New Roman" w:eastAsia="Times New Roman" w:hAnsi="Times New Roman" w:cs="Times New Roman"/>
        </w:rPr>
      </w:pPr>
    </w:p>
    <w:p w:rsidR="000F2879" w:rsidRPr="00BD4953" w:rsidRDefault="000F2879" w:rsidP="000F2879">
      <w:pPr>
        <w:widowControl w:val="0"/>
        <w:tabs>
          <w:tab w:val="left" w:pos="2153"/>
        </w:tabs>
        <w:adjustRightInd w:val="0"/>
        <w:spacing w:after="0" w:line="240" w:lineRule="auto"/>
        <w:jc w:val="both"/>
        <w:rPr>
          <w:rFonts w:ascii="Times New Roman" w:eastAsia="Times New Roman" w:hAnsi="Times New Roman" w:cs="Times New Roman"/>
        </w:rPr>
      </w:pPr>
    </w:p>
    <w:tbl>
      <w:tblPr>
        <w:tblW w:w="0" w:type="auto"/>
        <w:tblLook w:val="04A0" w:firstRow="1" w:lastRow="0" w:firstColumn="1" w:lastColumn="0" w:noHBand="0" w:noVBand="1"/>
      </w:tblPr>
      <w:tblGrid>
        <w:gridCol w:w="5637"/>
        <w:gridCol w:w="3649"/>
      </w:tblGrid>
      <w:tr w:rsidR="000F2879" w:rsidRPr="00BD4953" w:rsidTr="00B44DD8">
        <w:tc>
          <w:tcPr>
            <w:tcW w:w="5637" w:type="dxa"/>
            <w:hideMark/>
          </w:tcPr>
          <w:p w:rsidR="000F2879" w:rsidRPr="00BD4953" w:rsidRDefault="000F2879" w:rsidP="00B44DD8">
            <w:pPr>
              <w:widowControl w:val="0"/>
              <w:tabs>
                <w:tab w:val="left" w:pos="2153"/>
              </w:tabs>
              <w:adjustRightInd w:val="0"/>
              <w:spacing w:after="0" w:line="240" w:lineRule="auto"/>
              <w:jc w:val="both"/>
              <w:rPr>
                <w:rFonts w:ascii="Times New Roman" w:eastAsia="Times New Roman" w:hAnsi="Times New Roman" w:cs="Times New Roman"/>
              </w:rPr>
            </w:pPr>
            <w:r w:rsidRPr="00BD4953">
              <w:rPr>
                <w:rFonts w:ascii="Times New Roman" w:eastAsia="Times New Roman" w:hAnsi="Times New Roman" w:cs="Times New Roman"/>
              </w:rPr>
              <w:t xml:space="preserve">    Glavna tajnica                                                                                  </w:t>
            </w:r>
          </w:p>
        </w:tc>
        <w:tc>
          <w:tcPr>
            <w:tcW w:w="3649" w:type="dxa"/>
            <w:hideMark/>
          </w:tcPr>
          <w:p w:rsidR="000F2879" w:rsidRPr="00BD4953" w:rsidRDefault="000F2879" w:rsidP="00B44DD8">
            <w:pPr>
              <w:widowControl w:val="0"/>
              <w:tabs>
                <w:tab w:val="left" w:pos="2153"/>
              </w:tabs>
              <w:adjustRightInd w:val="0"/>
              <w:spacing w:after="0" w:line="240" w:lineRule="auto"/>
              <w:jc w:val="both"/>
              <w:rPr>
                <w:rFonts w:ascii="Times New Roman" w:eastAsia="Times New Roman" w:hAnsi="Times New Roman" w:cs="Times New Roman"/>
              </w:rPr>
            </w:pPr>
            <w:r w:rsidRPr="00BD4953">
              <w:rPr>
                <w:rFonts w:ascii="Times New Roman" w:eastAsia="Times New Roman" w:hAnsi="Times New Roman" w:cs="Times New Roman"/>
              </w:rPr>
              <w:t xml:space="preserve">        Rektorica</w:t>
            </w:r>
          </w:p>
          <w:p w:rsidR="000F2879" w:rsidRPr="00BD4953" w:rsidRDefault="000F2879" w:rsidP="00B44DD8">
            <w:pPr>
              <w:widowControl w:val="0"/>
              <w:tabs>
                <w:tab w:val="left" w:pos="2153"/>
              </w:tabs>
              <w:adjustRightInd w:val="0"/>
              <w:spacing w:after="0" w:line="240" w:lineRule="auto"/>
              <w:jc w:val="both"/>
              <w:rPr>
                <w:rFonts w:ascii="Times New Roman" w:eastAsia="Times New Roman" w:hAnsi="Times New Roman" w:cs="Times New Roman"/>
              </w:rPr>
            </w:pPr>
          </w:p>
          <w:p w:rsidR="000F2879" w:rsidRPr="00BD4953" w:rsidRDefault="000F2879" w:rsidP="00B44DD8">
            <w:pPr>
              <w:widowControl w:val="0"/>
              <w:tabs>
                <w:tab w:val="left" w:pos="2153"/>
              </w:tabs>
              <w:adjustRightInd w:val="0"/>
              <w:spacing w:after="0" w:line="240" w:lineRule="auto"/>
              <w:jc w:val="both"/>
              <w:rPr>
                <w:rFonts w:ascii="Times New Roman" w:eastAsia="Times New Roman" w:hAnsi="Times New Roman" w:cs="Times New Roman"/>
              </w:rPr>
            </w:pPr>
          </w:p>
        </w:tc>
      </w:tr>
      <w:tr w:rsidR="000F2879" w:rsidRPr="00BD4953" w:rsidTr="00B44DD8">
        <w:tc>
          <w:tcPr>
            <w:tcW w:w="5637" w:type="dxa"/>
            <w:hideMark/>
          </w:tcPr>
          <w:p w:rsidR="000F2879" w:rsidRPr="00BD4953" w:rsidRDefault="000F2879" w:rsidP="00B44DD8">
            <w:pPr>
              <w:widowControl w:val="0"/>
              <w:tabs>
                <w:tab w:val="left" w:pos="2153"/>
              </w:tabs>
              <w:adjustRightInd w:val="0"/>
              <w:spacing w:after="0" w:line="240" w:lineRule="auto"/>
              <w:jc w:val="both"/>
              <w:rPr>
                <w:rFonts w:ascii="Times New Roman" w:eastAsia="Times New Roman" w:hAnsi="Times New Roman" w:cs="Times New Roman"/>
              </w:rPr>
            </w:pPr>
            <w:r w:rsidRPr="00BD4953">
              <w:rPr>
                <w:rFonts w:ascii="Times New Roman" w:eastAsia="Times New Roman" w:hAnsi="Times New Roman" w:cs="Times New Roman"/>
              </w:rPr>
              <w:t xml:space="preserve">Antonella Lovrić, dipl. iur.                                                                        </w:t>
            </w:r>
          </w:p>
        </w:tc>
        <w:tc>
          <w:tcPr>
            <w:tcW w:w="3649" w:type="dxa"/>
          </w:tcPr>
          <w:p w:rsidR="000F2879" w:rsidRPr="00BD4953" w:rsidRDefault="000F2879" w:rsidP="00B44DD8">
            <w:pPr>
              <w:tabs>
                <w:tab w:val="center" w:pos="1620"/>
              </w:tabs>
              <w:spacing w:after="0" w:line="240" w:lineRule="auto"/>
              <w:jc w:val="both"/>
              <w:rPr>
                <w:rFonts w:ascii="Times New Roman" w:eastAsia="Times New Roman" w:hAnsi="Times New Roman" w:cs="Times New Roman"/>
              </w:rPr>
            </w:pPr>
            <w:r w:rsidRPr="00BD4953">
              <w:rPr>
                <w:rFonts w:ascii="Times New Roman" w:eastAsia="Times New Roman" w:hAnsi="Times New Roman" w:cs="Times New Roman"/>
              </w:rPr>
              <w:t>Prof. dr. sc. Dijana Vican</w:t>
            </w:r>
          </w:p>
        </w:tc>
      </w:tr>
    </w:tbl>
    <w:p w:rsidR="000F2879" w:rsidRPr="00BD4953" w:rsidRDefault="000F2879" w:rsidP="000F2879">
      <w:pPr>
        <w:spacing w:after="0" w:line="240" w:lineRule="auto"/>
        <w:jc w:val="both"/>
        <w:rPr>
          <w:rFonts w:ascii="Times New Roman" w:eastAsia="Times New Roman" w:hAnsi="Times New Roman" w:cs="Times New Roman"/>
        </w:rPr>
      </w:pPr>
      <w:r w:rsidRPr="00BD4953">
        <w:rPr>
          <w:rFonts w:ascii="Times New Roman" w:eastAsia="Times New Roman" w:hAnsi="Times New Roman" w:cs="Times New Roman"/>
        </w:rPr>
        <w:t xml:space="preserve">                                                                                                        </w:t>
      </w:r>
    </w:p>
    <w:p w:rsidR="000F2879" w:rsidRPr="00D0484C" w:rsidRDefault="000F2879" w:rsidP="000F2879">
      <w:pPr>
        <w:spacing w:after="0" w:line="240" w:lineRule="auto"/>
        <w:jc w:val="both"/>
        <w:rPr>
          <w:rFonts w:ascii="Times New Roman" w:hAnsi="Times New Roman" w:cs="Times New Roman"/>
        </w:rPr>
      </w:pPr>
    </w:p>
    <w:p w:rsidR="00B57A0D" w:rsidRPr="00D0484C" w:rsidRDefault="007A5CA7"/>
    <w:sectPr w:rsidR="00B57A0D" w:rsidRPr="00D0484C" w:rsidSect="00602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79"/>
    <w:rsid w:val="000A2695"/>
    <w:rsid w:val="000B2F4D"/>
    <w:rsid w:val="000F2879"/>
    <w:rsid w:val="00272323"/>
    <w:rsid w:val="002930A6"/>
    <w:rsid w:val="005D6147"/>
    <w:rsid w:val="006264CC"/>
    <w:rsid w:val="00792F87"/>
    <w:rsid w:val="00794D2A"/>
    <w:rsid w:val="007A5CA7"/>
    <w:rsid w:val="009D5C15"/>
    <w:rsid w:val="00A41D8B"/>
    <w:rsid w:val="00B57916"/>
    <w:rsid w:val="00D0484C"/>
    <w:rsid w:val="00D315CF"/>
    <w:rsid w:val="00D574EB"/>
    <w:rsid w:val="00D94F4F"/>
    <w:rsid w:val="00E55CBC"/>
    <w:rsid w:val="00E65283"/>
    <w:rsid w:val="00EA10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79"/>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0484C"/>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D048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79"/>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0484C"/>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D048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Lovrić</dc:creator>
  <cp:lastModifiedBy>Antonella Lovrić</cp:lastModifiedBy>
  <cp:revision>1</cp:revision>
  <dcterms:created xsi:type="dcterms:W3CDTF">2016-09-26T06:30:00Z</dcterms:created>
  <dcterms:modified xsi:type="dcterms:W3CDTF">2016-09-26T07:04:00Z</dcterms:modified>
</cp:coreProperties>
</file>